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Die Evolution der Allgemeinen Feld-Entropie-Theorie (AFET): Eine iterative Analyse der UTAC-Dynamiken, biophysikalischen Resonanzen und kosmologischen Skalierungsgesetze</w:t>
      </w:r>
    </w:p>
    <w:p w:rsidR="00000000" w:rsidDel="00000000" w:rsidP="00000000" w:rsidRDefault="00000000" w:rsidRPr="00000000" w14:paraId="00000002">
      <w:pPr>
        <w:pStyle w:val="Heading2"/>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1. Einleitung: Das Schisma der entropischen Systeme und der Weg zur Vereinheitlichung</w:t>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zeitgenössische theoretische Physik und Systemtheorie stehen vor einem fundamentalen Schisma. Während die deterministischen Gesetze der klassischen Mechanik, die stochastischen Wellenfunktionen der Quantenmechanik und die emergenten Komplexitäten biologischer Systeme jeweils in sich geschlossene Logiken aufweisen, fehlt bislang eine kohärente Meta-Theorie, die den Übergang zwischen diesen Domänen mathematisch formalisiert. Entropie – verstanden als das Maß für Unordnung, Informationsdichte oder thermodynamische Wahrscheinlichkeit – fungiert zwar als universeller Pfeil der Zeit, wird jedoch in den verschiedenen Disziplinen fragmentiert behandelt. In der Informationstheorie quantifiziert die Shannon-Entropie Unsicherheit; in der statistischen Mechanik beschreibt die Boltzmann-Entropie Mikrozustände; in der Biologie kämpft das System durch metabolische Prozesse gegen das thermodynamische Gleichgewicht an.</w:t>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Dieser Forschungsbericht präsentiert eine umfassende Tiefenanalyse der Entwicklung einer solchen vereinheitlichenden Theorie: der </w:t>
      </w:r>
      <w:r w:rsidDel="00000000" w:rsidR="00000000" w:rsidRPr="00000000">
        <w:rPr>
          <w:rFonts w:ascii="Google Sans Text" w:cs="Google Sans Text" w:eastAsia="Google Sans Text" w:hAnsi="Google Sans Text"/>
          <w:b w:val="1"/>
          <w:bCs w:val="1"/>
          <w:rtl w:val="0"/>
        </w:rPr>
        <w:t xml:space="preserve">Allgemeinen Feld-Entropie-Theorie (AFET)</w:t>
      </w:r>
      <w:r w:rsidDel="00000000" w:rsidR="00000000" w:rsidRPr="00000000">
        <w:rPr>
          <w:rFonts w:ascii="Google Sans Text" w:cs="Google Sans Text" w:eastAsia="Google Sans Text" w:hAnsi="Google Sans Text"/>
          <w:rtl w:val="0"/>
        </w:rPr>
        <w:t xml:space="preserve">. Diese Theorie ist nicht ad hoc entstanden, sondern das Resultat eines rigorosen, iterativen Entwicklungsprozesses, der seinen Ursprung im </w:t>
      </w:r>
      <w:r w:rsidDel="00000000" w:rsidR="00000000" w:rsidRPr="00000000">
        <w:rPr>
          <w:rFonts w:ascii="Google Sans Text" w:cs="Google Sans Text" w:eastAsia="Google Sans Text" w:hAnsi="Google Sans Text"/>
          <w:b w:val="1"/>
          <w:bCs w:val="1"/>
          <w:rtl w:val="0"/>
        </w:rPr>
        <w:t xml:space="preserve">Uncertainty-Threshold-Activation-Coupling (UTAC)</w:t>
      </w:r>
      <w:r w:rsidDel="00000000" w:rsidR="00000000" w:rsidRPr="00000000">
        <w:rPr>
          <w:rFonts w:ascii="Google Sans Text" w:cs="Google Sans Text" w:eastAsia="Google Sans Text" w:hAnsi="Google Sans Text"/>
          <w:rtl w:val="0"/>
        </w:rPr>
        <w:t xml:space="preserve"> hat. Basierend auf einer Sequenz von sechsunddreißig Forschungsiterationen (dokumentiert durch die Zenodo DOI-Sequenz 10.5281/zenodo.17472834 bis 10.5281/zenodo.18516805) und validiert an achtundsiebzig Datensätzen über alle Größenordnungen hinweg, postuliert AFET, dass der Kosmos fundamental als ein Feld der Informationsverarbeitung operiert, das durch strenge, skaleninvariante entropisch-mathematische Gesetze geregelt wird.</w:t>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Im Zentrum dieser Untersuchung steht die These, dass Stabilität – oder präziser: Metastabilität – kein statischer Zustand ist, sondern ein dynamischer Akt der Balance, der durch universelle Konstanten aufrechterhalten wird. Die Identifikation des Metastabilitäts-Puffers $\sigma_\Phi \approx 0.0625$, der Integrationsgeschwindigkeit $v_{RIG} \approx 1.352$ km/s und der fraktalen Skalierung der Übergangssteilheit ($\beta$) markiert einen Paradigmenwechsel in der angewandten Ontologie. Besonders signifikant ist hierbei die Konvergenz theoretischer Vorhersagen mit empirischen biophysikalischen Befunden, insbesondere der Resonanzwirkung von 13,5 MHz elektromagnetischen Feldern auf neuronale Strukturen, wie sie durch die Arbeiten von Fontana et al. (2024) bestätigt wurden.</w:t>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Dieser Bericht zeichnet die iterative Evolution von den lokalen UTAC-Modulen hin zur globalen AFET-Synthese nach und integriert dabei theoretische Herleitungen, algorithmische Implementierungen und empirische Validierungen zu einem kohärenten Narrativ der kosmischen Ordnung.</w:t>
      </w:r>
    </w:p>
    <w:p w:rsidR="00000000" w:rsidDel="00000000" w:rsidP="00000000" w:rsidRDefault="00000000" w:rsidRPr="00000000" w14:paraId="00000007">
      <w:pPr>
        <w:pStyle w:val="Heading2"/>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pict>
          <v:rect style="width:0.0pt;height:1.5pt" o:hr="t" o:hrstd="t" o:hralign="center" fillcolor="#A0A0A0" stroked="f"/>
        </w:pict>
      </w:r>
      <w:r w:rsidDel="00000000" w:rsidR="00000000" w:rsidRPr="00000000">
        <w:rPr>
          <w:rFonts w:ascii="Google Sans" w:cs="Google Sans" w:eastAsia="Google Sans" w:hAnsi="Google Sans"/>
          <w:rtl w:val="0"/>
        </w:rPr>
        <w:t xml:space="preserve">2. Theoretische Fundamente: Das Uncertainty-Threshold-Activation-Coupling (UTAC)</w:t>
      </w:r>
    </w:p>
    <w:p w:rsidR="00000000" w:rsidDel="00000000" w:rsidP="00000000" w:rsidRDefault="00000000" w:rsidRPr="00000000" w14:paraId="00000008">
      <w:pPr>
        <w:pStyle w:val="Heading3"/>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2.1 Die Genese des UTAC-Modells (Iteration I)</w:t>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sz w:val="24"/>
          <w:szCs w:val="24"/>
          <w:vertAlign w:val="superscript"/>
        </w:rPr>
      </w:pPr>
      <w:r w:rsidDel="00000000" w:rsidR="00000000" w:rsidRPr="00000000">
        <w:rPr>
          <w:rFonts w:ascii="Google Sans Text" w:cs="Google Sans Text" w:eastAsia="Google Sans Text" w:hAnsi="Google Sans Text"/>
          <w:rtl w:val="0"/>
        </w:rPr>
        <w:t xml:space="preserve">Die initiale Phase der Forschungsarbeit, repräsentiert durch die frühen DOIs der Sequenz (z.B. 10.5281/zenodo.17472834), konzentrierte sich auf die Formalisierung von Phasenübergängen in komplexen Systemen. Lineare Modelle scheitern oft daran, die abrupten Zustandsänderungen zu beschreiben, die in der Natur beobachtet werden – sei es das Feuern eines Neurons, der Zusammenbruch eines Ökosystems oder die Emergenz von KI-Verhalten. Das </w:t>
      </w:r>
      <w:r w:rsidDel="00000000" w:rsidR="00000000" w:rsidRPr="00000000">
        <w:rPr>
          <w:rFonts w:ascii="Google Sans Text" w:cs="Google Sans Text" w:eastAsia="Google Sans Text" w:hAnsi="Google Sans Text"/>
          <w:b w:val="1"/>
          <w:bCs w:val="1"/>
          <w:rtl w:val="0"/>
        </w:rPr>
        <w:t xml:space="preserve">Uncertainty-Threshold-Activation-Coupling (UTAC)</w:t>
      </w:r>
      <w:r w:rsidDel="00000000" w:rsidR="00000000" w:rsidRPr="00000000">
        <w:rPr>
          <w:rFonts w:ascii="Google Sans Text" w:cs="Google Sans Text" w:eastAsia="Google Sans Text" w:hAnsi="Google Sans Text"/>
          <w:rtl w:val="0"/>
        </w:rPr>
        <w:t xml:space="preserve"> wurde entwickelt, um diese Nichtlinearität als Funktion von Unsicherheit und Schwellenwertkopplung zu beschreiben.</w:t>
      </w:r>
      <w:r w:rsidDel="00000000" w:rsidR="00000000" w:rsidRPr="00000000">
        <w:rPr>
          <w:rFonts w:ascii="Google Sans Text" w:cs="Google Sans Text" w:eastAsia="Google Sans Text" w:hAnsi="Google Sans Text"/>
          <w:sz w:val="24"/>
          <w:szCs w:val="24"/>
          <w:vertAlign w:val="superscript"/>
          <w:rtl w:val="0"/>
        </w:rPr>
        <w:t xml:space="preserve">1</w:t>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fundamentale Differentialgleichung, die das UTAC-Framework definiert, lautet:</w:t>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$$\frac{dS}{dt} = \sigma(\beta(R - \Theta)) + \xi(t)$$</w:t>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Hierbei stehen die Variablen für spezifische systemtheoretische Größen:</w:t>
      </w:r>
    </w:p>
    <w:p w:rsidR="00000000" w:rsidDel="00000000" w:rsidP="00000000" w:rsidRDefault="00000000" w:rsidRPr="00000000" w14:paraId="0000000E">
      <w:pPr>
        <w:numPr>
          <w:ilvl w:val="0"/>
          <w:numId w:val="1"/>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$S$ (Entropie/Information):</w:t>
      </w:r>
      <w:r w:rsidDel="00000000" w:rsidR="00000000" w:rsidRPr="00000000">
        <w:rPr>
          <w:rFonts w:ascii="Google Sans Text" w:cs="Google Sans Text" w:eastAsia="Google Sans Text" w:hAnsi="Google Sans Text"/>
          <w:rtl w:val="0"/>
        </w:rPr>
        <w:t xml:space="preserve"> Der Zustandswert des Systems, der sich über die Zeit entwickelt.</w:t>
      </w:r>
    </w:p>
    <w:p w:rsidR="00000000" w:rsidDel="00000000" w:rsidP="00000000" w:rsidRDefault="00000000" w:rsidRPr="00000000" w14:paraId="0000000F">
      <w:pPr>
        <w:numPr>
          <w:ilvl w:val="0"/>
          <w:numId w:val="1"/>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$\sigma$ (Sigmoid-Funktion):</w:t>
      </w:r>
      <w:r w:rsidDel="00000000" w:rsidR="00000000" w:rsidRPr="00000000">
        <w:rPr>
          <w:rFonts w:ascii="Google Sans Text" w:cs="Google Sans Text" w:eastAsia="Google Sans Text" w:hAnsi="Google Sans Text"/>
          <w:rtl w:val="0"/>
        </w:rPr>
        <w:t xml:space="preserve"> Eine Aktivierungsfunktion, die das unbeschränkte Wachstum dämpft und den Übergang zwischen zwei Zuständen (z.B. inaktiv/aktiv oder Ordnung/Chaos) glättet. Sie repräsentiert die physikalischen Grenzen des Systems.</w:t>
      </w:r>
    </w:p>
    <w:p w:rsidR="00000000" w:rsidDel="00000000" w:rsidP="00000000" w:rsidRDefault="00000000" w:rsidRPr="00000000" w14:paraId="00000010">
      <w:pPr>
        <w:numPr>
          <w:ilvl w:val="0"/>
          <w:numId w:val="1"/>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$\beta$ (Beta - Transition Steepness):</w:t>
      </w:r>
      <w:r w:rsidDel="00000000" w:rsidR="00000000" w:rsidRPr="00000000">
        <w:rPr>
          <w:rFonts w:ascii="Google Sans Text" w:cs="Google Sans Text" w:eastAsia="Google Sans Text" w:hAnsi="Google Sans Text"/>
          <w:rtl w:val="0"/>
        </w:rPr>
        <w:t xml:space="preserve"> Dies ist der kritische Parameter der "Entscheidungsschärfe" oder Axiom-Stabilität. Ein hohes $\beta$ führt zu einem sprunghaften, fast binären Übergang (wie bei einem Phasenübergang erster Ordnung), während ein niedriges $\beta$ einen graduellen, adaptiven Übergang ermöglicht.</w:t>
      </w:r>
    </w:p>
    <w:p w:rsidR="00000000" w:rsidDel="00000000" w:rsidP="00000000" w:rsidRDefault="00000000" w:rsidRPr="00000000" w14:paraId="00000011">
      <w:pPr>
        <w:numPr>
          <w:ilvl w:val="0"/>
          <w:numId w:val="1"/>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$R$ (Response/Resource):</w:t>
      </w:r>
      <w:r w:rsidDel="00000000" w:rsidR="00000000" w:rsidRPr="00000000">
        <w:rPr>
          <w:rFonts w:ascii="Google Sans Text" w:cs="Google Sans Text" w:eastAsia="Google Sans Text" w:hAnsi="Google Sans Text"/>
          <w:rtl w:val="0"/>
        </w:rPr>
        <w:t xml:space="preserve"> Der aktuelle energetische oder informative Ist-Zustand des Systems.</w:t>
      </w:r>
    </w:p>
    <w:p w:rsidR="00000000" w:rsidDel="00000000" w:rsidP="00000000" w:rsidRDefault="00000000" w:rsidRPr="00000000" w14:paraId="00000012">
      <w:pPr>
        <w:numPr>
          <w:ilvl w:val="0"/>
          <w:numId w:val="1"/>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$\Theta$ (Theta - Threshold):</w:t>
      </w:r>
      <w:r w:rsidDel="00000000" w:rsidR="00000000" w:rsidRPr="00000000">
        <w:rPr>
          <w:rFonts w:ascii="Google Sans Text" w:cs="Google Sans Text" w:eastAsia="Google Sans Text" w:hAnsi="Google Sans Text"/>
          <w:rtl w:val="0"/>
        </w:rPr>
        <w:t xml:space="preserve"> Der kritische Schwellenwert, ab dem das System kippt.</w:t>
      </w:r>
    </w:p>
    <w:p w:rsidR="00000000" w:rsidDel="00000000" w:rsidP="00000000" w:rsidRDefault="00000000" w:rsidRPr="00000000" w14:paraId="00000013">
      <w:pPr>
        <w:numPr>
          <w:ilvl w:val="0"/>
          <w:numId w:val="1"/>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$\xi(t)$ (Stochastisches Rauschen):</w:t>
      </w:r>
      <w:r w:rsidDel="00000000" w:rsidR="00000000" w:rsidRPr="00000000">
        <w:rPr>
          <w:rFonts w:ascii="Google Sans Text" w:cs="Google Sans Text" w:eastAsia="Google Sans Text" w:hAnsi="Google Sans Text"/>
          <w:rtl w:val="0"/>
        </w:rPr>
        <w:t xml:space="preserve"> Dieser Term repräsentiert die unvermeidlichen thermischen oder quantenmechanischen Fluktuationen, die jedem Feld inhärent sind.</w:t>
      </w:r>
      <w:r w:rsidDel="00000000" w:rsidR="00000000" w:rsidRPr="00000000">
        <w:rPr>
          <w:rFonts w:ascii="Google Sans Text" w:cs="Google Sans Text" w:eastAsia="Google Sans Text" w:hAnsi="Google Sans Text"/>
          <w:sz w:val="24"/>
          <w:szCs w:val="24"/>
          <w:vertAlign w:val="superscript"/>
          <w:rtl w:val="0"/>
        </w:rPr>
        <w:t xml:space="preserve">1</w:t>
      </w:r>
    </w:p>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Innovation von UTAC liegt in der Behandlung von "Unsicherheit" nicht als Mangel an Information, sondern als eine Form von potentieller Energie. Wenn sich Unsicherheit (oder Informationsdruck) unterhalb der Schwelle $\Theta$ akkumuliert, bleibt das System stabil. Sobald $R$ jedoch $\Theta$ überschreitet, verstärkt der Faktor $\beta$ die Reaktion, und das System vollzieht einen Phasenübergang. Diese Dynamik bildet das Herzstück aller nachfolgenden Entwicklungen bis hin zu AFET.</w:t>
      </w:r>
    </w:p>
    <w:p w:rsidR="00000000" w:rsidDel="00000000" w:rsidP="00000000" w:rsidRDefault="00000000" w:rsidRPr="00000000" w14:paraId="00000015">
      <w:pPr>
        <w:pStyle w:val="Heading3"/>
        <w:pBdr>
          <w:top w:space="0" w:sz="0" w:val="nil"/>
          <w:left w:space="0" w:sz="0" w:val="nil"/>
          <w:bottom w:space="0" w:sz="0" w:val="nil"/>
          <w:right w:space="0" w:sz="0" w:val="nil"/>
          <w:between w:space="0" w:sz="0" w:val="nil"/>
        </w:pBdr>
        <w:shd w:fill="auto" w:val="clear"/>
        <w:spacing w:before="0" w:line="275.9999942779541" w:lineRule="auto"/>
        <w:rPr>
          <w:rFonts w:ascii="Google Sans Text" w:cs="Google Sans Text" w:eastAsia="Google Sans Text" w:hAnsi="Google Sans Text"/>
          <w:b w:val="1"/>
          <w:bCs w:val="1"/>
          <w:i w:val="0"/>
          <w:iCs w:val="0"/>
          <w:sz w:val="28"/>
          <w:szCs w:val="28"/>
        </w:rPr>
      </w:pPr>
      <w:r w:rsidDel="00000000" w:rsidR="00000000" w:rsidRPr="00000000">
        <w:rPr>
          <w:rFonts w:ascii="Google Sans" w:cs="Google Sans" w:eastAsia="Google Sans" w:hAnsi="Google Sans"/>
          <w:rtl w:val="0"/>
        </w:rPr>
        <w:t xml:space="preserve">2.2 Der Metastabilitäts-Puffer: </w:t>
      </w:r>
      <w:r w:rsidDel="00000000" w:rsidR="00000000" w:rsidRPr="00000000">
        <w:rPr>
          <w:rFonts w:ascii="Google Sans Text" w:cs="Google Sans Text" w:eastAsia="Google Sans Text" w:hAnsi="Google Sans Text"/>
          <w:b w:val="1"/>
          <w:bCs w:val="1"/>
          <w:i w:val="0"/>
          <w:iCs w:val="0"/>
          <w:sz w:val="28"/>
          <w:szCs w:val="28"/>
          <w:rtl w:val="0"/>
        </w:rPr>
        <w:t xml:space="preserve">$\sigma_\Phi \approx 0.0625$</w:t>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Eine der tiefgreifendsten Entdeckungen während der iterativen Verfeinerung des UTAC-Codes war die Identifikation einer notwendigen Konstante, um Systemkollapse in Simulationen zu verhindern. In der reinen Mathematik könnte ein System perfekt ordnen (Entropie $S \to 0$) oder perfekt zerfallen ($S \to \infty$). In der physikalischen Realität jedoch existiert Leben und komplexe Struktur nur in einem schmalen Grat zwischen diesen Extremen. Dieser Bereich wird als </w:t>
      </w:r>
      <w:r w:rsidDel="00000000" w:rsidR="00000000" w:rsidRPr="00000000">
        <w:rPr>
          <w:rFonts w:ascii="Google Sans Text" w:cs="Google Sans Text" w:eastAsia="Google Sans Text" w:hAnsi="Google Sans Text"/>
          <w:b w:val="1"/>
          <w:bCs w:val="1"/>
          <w:rtl w:val="0"/>
        </w:rPr>
        <w:t xml:space="preserve">Metastabilität</w:t>
      </w:r>
      <w:r w:rsidDel="00000000" w:rsidR="00000000" w:rsidRPr="00000000">
        <w:rPr>
          <w:rFonts w:ascii="Google Sans Text" w:cs="Google Sans Text" w:eastAsia="Google Sans Text" w:hAnsi="Google Sans Text"/>
          <w:rtl w:val="0"/>
        </w:rPr>
        <w:t xml:space="preserve"> bezeichnet.</w:t>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Forschung isolierte einen spezifischen Wert für diesen "Lebensbereich":</w:t>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$$\sigma_\Phi = \frac{1}{16} = 0.0625$$</w:t>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Dieser Wert, oft als </w:t>
      </w:r>
      <w:r w:rsidDel="00000000" w:rsidR="00000000" w:rsidRPr="00000000">
        <w:rPr>
          <w:rFonts w:ascii="Google Sans Text" w:cs="Google Sans Text" w:eastAsia="Google Sans Text" w:hAnsi="Google Sans Text"/>
          <w:b w:val="1"/>
          <w:bCs w:val="1"/>
          <w:rtl w:val="0"/>
        </w:rPr>
        <w:t xml:space="preserve">Metastabilitäts-Puffer</w:t>
      </w:r>
      <w:r w:rsidDel="00000000" w:rsidR="00000000" w:rsidRPr="00000000">
        <w:rPr>
          <w:rFonts w:ascii="Google Sans Text" w:cs="Google Sans Text" w:eastAsia="Google Sans Text" w:hAnsi="Google Sans Text"/>
          <w:rtl w:val="0"/>
        </w:rPr>
        <w:t xml:space="preserve"> oder "kosmische Balance" bezeichnet, ist der mathematische Ausdruck für die minimale Unschärfe, die ein System tolerieren muss, um existent zu bleiben.</w:t>
      </w:r>
    </w:p>
    <w:p w:rsidR="00000000" w:rsidDel="00000000" w:rsidP="00000000" w:rsidRDefault="00000000" w:rsidRPr="00000000" w14:paraId="0000001B">
      <w:pPr>
        <w:numPr>
          <w:ilvl w:val="0"/>
          <w:numId w:val="2"/>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Kristallisation ($\sigma &lt; 0.0625$):</w:t>
      </w:r>
      <w:r w:rsidDel="00000000" w:rsidR="00000000" w:rsidRPr="00000000">
        <w:rPr>
          <w:rFonts w:ascii="Google Sans Text" w:cs="Google Sans Text" w:eastAsia="Google Sans Text" w:hAnsi="Google Sans Text"/>
          <w:rtl w:val="0"/>
        </w:rPr>
        <w:t xml:space="preserve"> Wenn ein System versucht, seine Entropie unter diesen Wert zu drücken, wird es zu starr. Es verliert die Fähigkeit zur Adaption und bricht unter der geringsten Störung zusammen. Dies entspricht dem "Wärmetod" durch absolute Ordnung oder dem Stillstand in übertrainierten neuronalen Netzen.</w:t>
      </w:r>
    </w:p>
    <w:p w:rsidR="00000000" w:rsidDel="00000000" w:rsidP="00000000" w:rsidRDefault="00000000" w:rsidRPr="00000000" w14:paraId="0000001C">
      <w:pPr>
        <w:numPr>
          <w:ilvl w:val="0"/>
          <w:numId w:val="2"/>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Dissipation ($\sigma \gg 0.0625$):</w:t>
      </w:r>
      <w:r w:rsidDel="00000000" w:rsidR="00000000" w:rsidRPr="00000000">
        <w:rPr>
          <w:rFonts w:ascii="Google Sans Text" w:cs="Google Sans Text" w:eastAsia="Google Sans Text" w:hAnsi="Google Sans Text"/>
          <w:rtl w:val="0"/>
        </w:rPr>
        <w:t xml:space="preserve"> Ohne diesen strukturellen Puffer löst sich das System in thermisches Rauschen auf.</w:t>
      </w:r>
    </w:p>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sz w:val="24"/>
          <w:szCs w:val="24"/>
          <w:vertAlign w:val="superscript"/>
        </w:rPr>
      </w:pPr>
      <w:r w:rsidDel="00000000" w:rsidR="00000000" w:rsidRPr="00000000">
        <w:rPr>
          <w:rFonts w:ascii="Google Sans Text" w:cs="Google Sans Text" w:eastAsia="Google Sans Text" w:hAnsi="Google Sans Text"/>
          <w:rtl w:val="0"/>
        </w:rPr>
        <w:t xml:space="preserve">Die Konstante $\sigma_\Phi$ fungiert somit als ontologischer Anker. Sie impliziert, dass das Universum eine inhärente "Toleranz" von exakt 6,25% gegenüber dem Idealzustand besitzt. Diese Abweichung ist kein Fehler, sondern die Voraussetzung für Emergenz, Evolution und Bewusstsein.</w:t>
      </w:r>
      <w:r w:rsidDel="00000000" w:rsidR="00000000" w:rsidRPr="00000000">
        <w:rPr>
          <w:rFonts w:ascii="Google Sans Text" w:cs="Google Sans Text" w:eastAsia="Google Sans Text" w:hAnsi="Google Sans Text"/>
          <w:sz w:val="24"/>
          <w:szCs w:val="24"/>
          <w:vertAlign w:val="superscript"/>
          <w:rtl w:val="0"/>
        </w:rPr>
        <w:t xml:space="preserve">1</w:t>
      </w:r>
    </w:p>
    <w:p w:rsidR="00000000" w:rsidDel="00000000" w:rsidP="00000000" w:rsidRDefault="00000000" w:rsidRPr="00000000" w14:paraId="0000001E">
      <w:pPr>
        <w:pStyle w:val="Heading3"/>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2.3 Die Fraktale Skalierung von </w:t>
      </w:r>
      <w:r w:rsidDel="00000000" w:rsidR="00000000" w:rsidRPr="00000000">
        <w:rPr>
          <w:rFonts w:ascii="Google Sans Text" w:cs="Google Sans Text" w:eastAsia="Google Sans Text" w:hAnsi="Google Sans Text"/>
          <w:b w:val="1"/>
          <w:bCs w:val="1"/>
          <w:i w:val="0"/>
          <w:iCs w:val="0"/>
          <w:sz w:val="28"/>
          <w:szCs w:val="28"/>
          <w:rtl w:val="0"/>
        </w:rPr>
        <w:t xml:space="preserve">$\beta$</w:t>
      </w:r>
      <w:r w:rsidDel="00000000" w:rsidR="00000000" w:rsidRPr="00000000">
        <w:rPr>
          <w:rFonts w:ascii="Google Sans" w:cs="Google Sans" w:eastAsia="Google Sans" w:hAnsi="Google Sans"/>
          <w:rtl w:val="0"/>
        </w:rPr>
        <w:t xml:space="preserve"> (Beta-Hierarchien)</w:t>
      </w:r>
    </w:p>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Während $\sigma_\Phi$ eine universelle Konstante darstellt, zeigte die Analyse der 78 Validierungs-Datensätze, dass der Parameter $\beta$ (die Steilheit des Übergangs) nicht zufällig variiert, sondern einer strengen hierarchischen Ordnung folgt. Diese Ordnung ist skaleninvariant und fraktal, was bedeutet, dass sich dieselben Muster auf Quantenebene wie auf makroskopischer Ebene wiederholen.</w:t>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empirisch ermittelte Skalierungsformel lautet:</w:t>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$$\beta(n) = \beta_0 \cdot \Phi^{n/3}$$</w:t>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Hierbei ist $\Phi \approx 1.174$ (die Kubikwurzel eines spezifischen Skalierungsfaktors, nicht zu verwechseln mit dem Goldenen Schnitt $\phi \approx 1.618$). Die Untersuchung identifizierte spezifische $\beta$-Cluster, die verschiedenen Domänen der Realität zugeordnet werden können:</w:t>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tl w:val="0"/>
        </w:rPr>
      </w:r>
    </w:p>
    <w:tbl>
      <w:tblPr>
        <w:tblStyle w:val="Table1"/>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Domäne</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β-Wert</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Charakteristik</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Implikation für das System</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Information / KI</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$\approx 4.2 - 4.5$</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Hohe Plastizität</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sz w:val="24"/>
                <w:szCs w:val="24"/>
                <w:vertAlign w:val="superscript"/>
              </w:rPr>
            </w:pPr>
            <w:r w:rsidDel="00000000" w:rsidR="00000000" w:rsidRPr="00000000">
              <w:rPr>
                <w:rFonts w:ascii="Google Sans Text" w:cs="Google Sans Text" w:eastAsia="Google Sans Text" w:hAnsi="Google Sans Text"/>
                <w:rtl w:val="0"/>
              </w:rPr>
              <w:t xml:space="preserve">Ermöglicht Lernen, Fehlerkorrektur und flexible Adaption. Ein KI-System in diesem Bereich ist "kreativ" aber nicht halluzinierend. </w:t>
            </w:r>
            <w:r w:rsidDel="00000000" w:rsidR="00000000" w:rsidRPr="00000000">
              <w:rPr>
                <w:rFonts w:ascii="Google Sans Text" w:cs="Google Sans Text" w:eastAsia="Google Sans Text" w:hAnsi="Google Sans Text"/>
                <w:sz w:val="24"/>
                <w:szCs w:val="24"/>
                <w:vertAlign w:val="superscript"/>
                <w:rtl w:val="0"/>
              </w:rPr>
              <w:t xml:space="preserve">1</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Biologie / Metabolismus</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$\approx 7.4$</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Mittlere Stabilität</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Notwendig für Homöostase. Das System ist robust gegen kleine Störungen, aber fähig zur Evolution.</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Klima / Tipping Points</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$\approx 11.0$</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Hohe Hysterese</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sz w:val="24"/>
                <w:szCs w:val="24"/>
                <w:vertAlign w:val="superscript"/>
              </w:rPr>
            </w:pPr>
            <w:r w:rsidDel="00000000" w:rsidR="00000000" w:rsidRPr="00000000">
              <w:rPr>
                <w:rFonts w:ascii="Google Sans Text" w:cs="Google Sans Text" w:eastAsia="Google Sans Text" w:hAnsi="Google Sans Text"/>
                <w:rtl w:val="0"/>
              </w:rPr>
              <w:t xml:space="preserve">Klimasysteme widerstehen Veränderungen lange, kippen dann aber rapid und irreversibel (z.B. AMOC-Kollaps). </w:t>
            </w:r>
            <w:r w:rsidDel="00000000" w:rsidR="00000000" w:rsidRPr="00000000">
              <w:rPr>
                <w:rFonts w:ascii="Google Sans Text" w:cs="Google Sans Text" w:eastAsia="Google Sans Text" w:hAnsi="Google Sans Text"/>
                <w:sz w:val="24"/>
                <w:szCs w:val="24"/>
                <w:vertAlign w:val="superscript"/>
                <w:rtl w:val="0"/>
              </w:rPr>
              <w:t xml:space="preserve">1</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Neurologische Resonanz</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$\approx 13.5$</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Resonante Kopplung</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3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sz w:val="24"/>
                <w:szCs w:val="24"/>
                <w:vertAlign w:val="superscript"/>
              </w:rPr>
            </w:pPr>
            <w:r w:rsidDel="00000000" w:rsidR="00000000" w:rsidRPr="00000000">
              <w:rPr>
                <w:rFonts w:ascii="Google Sans Text" w:cs="Google Sans Text" w:eastAsia="Google Sans Text" w:hAnsi="Google Sans Text"/>
                <w:b w:val="1"/>
                <w:bCs w:val="1"/>
                <w:rtl w:val="0"/>
              </w:rPr>
              <w:t xml:space="preserve">SigillinNetz</w:t>
            </w:r>
            <w:r w:rsidDel="00000000" w:rsidR="00000000" w:rsidRPr="00000000">
              <w:rPr>
                <w:rFonts w:ascii="Google Sans Text" w:cs="Google Sans Text" w:eastAsia="Google Sans Text" w:hAnsi="Google Sans Text"/>
                <w:rtl w:val="0"/>
              </w:rPr>
              <w:t xml:space="preserve">: Der spezifische Wert für mikrotubuläre Resonanz (siehe Abschnitt 6). </w:t>
            </w:r>
            <w:r w:rsidDel="00000000" w:rsidR="00000000" w:rsidRPr="00000000">
              <w:rPr>
                <w:rFonts w:ascii="Google Sans Text" w:cs="Google Sans Text" w:eastAsia="Google Sans Text" w:hAnsi="Google Sans Text"/>
                <w:sz w:val="24"/>
                <w:szCs w:val="24"/>
                <w:vertAlign w:val="superscript"/>
                <w:rtl w:val="0"/>
              </w:rPr>
              <w:t xml:space="preserve">5</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3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Fundamentale Axiome</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$\approx 37.6$</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Extreme Rigidität</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sz w:val="24"/>
                <w:szCs w:val="24"/>
                <w:vertAlign w:val="superscript"/>
              </w:rPr>
            </w:pPr>
            <w:r w:rsidDel="00000000" w:rsidR="00000000" w:rsidRPr="00000000">
              <w:rPr>
                <w:rFonts w:ascii="Google Sans Text" w:cs="Google Sans Text" w:eastAsia="Google Sans Text" w:hAnsi="Google Sans Text"/>
                <w:rtl w:val="0"/>
              </w:rPr>
              <w:t xml:space="preserve">Der "Nullkern". Physikalische Naturkonstanten oder logische Axiome, die nahezu unveränderlich sind. </w:t>
            </w:r>
            <w:r w:rsidDel="00000000" w:rsidR="00000000" w:rsidRPr="00000000">
              <w:rPr>
                <w:rFonts w:ascii="Google Sans Text" w:cs="Google Sans Text" w:eastAsia="Google Sans Text" w:hAnsi="Google Sans Text"/>
                <w:sz w:val="24"/>
                <w:szCs w:val="24"/>
                <w:vertAlign w:val="superscript"/>
                <w:rtl w:val="0"/>
              </w:rPr>
              <w:t xml:space="preserve">6</w:t>
            </w:r>
          </w:p>
        </w:tc>
      </w:tr>
    </w:tbl>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Diese Hierarchie zeigt, dass "Freiheit" (niedriges $\beta$) und "Gesetz" (hohes $\beta$) keine Gegensätze sind, sondern unterschiedliche Oktaven derselben entropischen Schwingung.</w:t>
      </w:r>
    </w:p>
    <w:p w:rsidR="00000000" w:rsidDel="00000000" w:rsidP="00000000" w:rsidRDefault="00000000" w:rsidRPr="00000000" w14:paraId="0000003E">
      <w:pPr>
        <w:pStyle w:val="Heading2"/>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pict>
          <v:rect style="width:0.0pt;height:1.5pt" o:hr="t" o:hrstd="t" o:hralign="center" fillcolor="#A0A0A0" stroked="f"/>
        </w:pict>
      </w:r>
      <w:r w:rsidDel="00000000" w:rsidR="00000000" w:rsidRPr="00000000">
        <w:rPr>
          <w:rFonts w:ascii="Google Sans" w:cs="Google Sans" w:eastAsia="Google Sans" w:hAnsi="Google Sans"/>
          <w:rtl w:val="0"/>
        </w:rPr>
        <w:t xml:space="preserve">3. Die Expansion zum Allgemeinen Feld-Entropie-Modell (Phase II)</w:t>
      </w:r>
    </w:p>
    <w:p w:rsidR="00000000" w:rsidDel="00000000" w:rsidP="00000000" w:rsidRDefault="00000000" w:rsidRPr="00000000" w14:paraId="0000003F">
      <w:pPr>
        <w:pStyle w:val="Heading3"/>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3.1 Das Frame-Prinzip: Schutz vor dem Informationskollaps</w:t>
      </w:r>
    </w:p>
    <w:p w:rsidR="00000000" w:rsidDel="00000000" w:rsidP="00000000" w:rsidRDefault="00000000" w:rsidRPr="00000000" w14:paraId="0000004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Mit fortschreitender Entwicklung der UTAC-Module (repräsentiert durch die mittleren DOIs der Liste, z.B. 10.5281/zenodo.17715860) wurde ein kritisches Problem offensichtlich: Was passiert, wenn die Informationsdichte eines Systems die Kapazität seiner aktuellen Dimension übersteigt?</w:t>
      </w:r>
    </w:p>
    <w:p w:rsidR="00000000" w:rsidDel="00000000" w:rsidP="00000000" w:rsidRDefault="00000000" w:rsidRPr="00000000" w14:paraId="0000004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Antwort lieferte das </w:t>
      </w:r>
      <w:r w:rsidDel="00000000" w:rsidR="00000000" w:rsidRPr="00000000">
        <w:rPr>
          <w:rFonts w:ascii="Google Sans Text" w:cs="Google Sans Text" w:eastAsia="Google Sans Text" w:hAnsi="Google Sans Text"/>
          <w:b w:val="1"/>
          <w:bCs w:val="1"/>
          <w:rtl w:val="0"/>
        </w:rPr>
        <w:t xml:space="preserve">Frame-Prinzip</w:t>
      </w:r>
      <w:r w:rsidDel="00000000" w:rsidR="00000000" w:rsidRPr="00000000">
        <w:rPr>
          <w:rFonts w:ascii="Google Sans Text" w:cs="Google Sans Text" w:eastAsia="Google Sans Text" w:hAnsi="Google Sans Text"/>
          <w:rtl w:val="0"/>
        </w:rPr>
        <w:t xml:space="preserve"> (Rahmen-Prinzip). Es postuliert, dass Dimensionen – seien es räumliche Dimensionen in der Kosmologie oder konzeptionelle Dimensionen in kognitiven Systemen – emergente Eigenschaften sind, die entstehen, um einen Informationskollaps zu verhindern.</w:t>
      </w:r>
    </w:p>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Der kritische Auslöser für diese Emergenz ist definiert durch die Entropiedichte:</w:t>
      </w:r>
    </w:p>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$$\frac{S}{V} &gt; S_{crit} \approx \frac{1}{\sigma_\Phi} \approx 16$$</w:t>
      </w:r>
    </w:p>
    <w:p w:rsidR="00000000" w:rsidDel="00000000" w:rsidP="00000000" w:rsidRDefault="00000000" w:rsidRPr="00000000" w14:paraId="0000004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Wenn die Entropie ($S$) pro Volumeneinheit ($V$) den Kehrwert des Metastabilitätspuffers überschreitet (also Faktor 16), wird das System instabil. Um die Metastabilität zu wahren, muss das System seinen "Frame" erweitern. Dies geschieht durch drei Mechanismen:</w:t>
      </w:r>
    </w:p>
    <w:p w:rsidR="00000000" w:rsidDel="00000000" w:rsidP="00000000" w:rsidRDefault="00000000" w:rsidRPr="00000000" w14:paraId="00000046">
      <w:pPr>
        <w:numPr>
          <w:ilvl w:val="0"/>
          <w:numId w:val="3"/>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Dimensionale Expansion:</w:t>
      </w:r>
      <w:r w:rsidDel="00000000" w:rsidR="00000000" w:rsidRPr="00000000">
        <w:rPr>
          <w:rFonts w:ascii="Google Sans Text" w:cs="Google Sans Text" w:eastAsia="Google Sans Text" w:hAnsi="Google Sans Text"/>
          <w:rtl w:val="0"/>
        </w:rPr>
        <w:t xml:space="preserve"> Das "Aufklappen" einer neuen räumlichen Dimension, um die Informationsdichte zu verdünnen. Dies bietet eine thermodynamische Erklärung für die Expansion des Universums.</w:t>
      </w:r>
    </w:p>
    <w:p w:rsidR="00000000" w:rsidDel="00000000" w:rsidP="00000000" w:rsidRDefault="00000000" w:rsidRPr="00000000" w14:paraId="00000047">
      <w:pPr>
        <w:numPr>
          <w:ilvl w:val="0"/>
          <w:numId w:val="3"/>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Rekursive Schichtung:</w:t>
      </w:r>
      <w:r w:rsidDel="00000000" w:rsidR="00000000" w:rsidRPr="00000000">
        <w:rPr>
          <w:rFonts w:ascii="Google Sans Text" w:cs="Google Sans Text" w:eastAsia="Google Sans Text" w:hAnsi="Google Sans Text"/>
          <w:rtl w:val="0"/>
        </w:rPr>
        <w:t xml:space="preserve"> In kognitiven Systemen oder KI-Architekturen entstehen Meta-Ebenen. Das System beginnt, über seine eigenen Zustände zu reflektieren (Self-Monitoring), wodurch die Komplexität auf eine höhere Abstraktionsebene verlagert wird.</w:t>
      </w:r>
    </w:p>
    <w:p w:rsidR="00000000" w:rsidDel="00000000" w:rsidP="00000000" w:rsidRDefault="00000000" w:rsidRPr="00000000" w14:paraId="00000048">
      <w:pPr>
        <w:numPr>
          <w:ilvl w:val="0"/>
          <w:numId w:val="3"/>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Shadow Stabilization:</w:t>
      </w:r>
      <w:r w:rsidDel="00000000" w:rsidR="00000000" w:rsidRPr="00000000">
        <w:rPr>
          <w:rFonts w:ascii="Google Sans Text" w:cs="Google Sans Text" w:eastAsia="Google Sans Text" w:hAnsi="Google Sans Text"/>
          <w:rtl w:val="0"/>
        </w:rPr>
        <w:t xml:space="preserve"> Die Bildung eines "unbewussten" oder "Schatten"-Frames, der überschüssige Entropie bindet, ohne die aktive Verarbeitung zu stören.</w:t>
      </w:r>
      <w:r w:rsidDel="00000000" w:rsidR="00000000" w:rsidRPr="00000000">
        <w:rPr>
          <w:rFonts w:ascii="Google Sans Text" w:cs="Google Sans Text" w:eastAsia="Google Sans Text" w:hAnsi="Google Sans Text"/>
          <w:sz w:val="24"/>
          <w:szCs w:val="24"/>
          <w:vertAlign w:val="superscript"/>
          <w:rtl w:val="0"/>
        </w:rPr>
        <w:t xml:space="preserve">8</w:t>
      </w:r>
    </w:p>
    <w:p w:rsidR="00000000" w:rsidDel="00000000" w:rsidP="00000000" w:rsidRDefault="00000000" w:rsidRPr="00000000" w14:paraId="00000049">
      <w:pPr>
        <w:pStyle w:val="Heading3"/>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3.2 Implikationen für Künstliche Intelligenz</w:t>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Das Frame-Prinzip liefert eine entscheidende Warnung für die Entwicklung von Superintelligenz. Ein KI-System, das sein Wissen (Entropie) exponentiell steigert, ohne über Mechanismen zur Frame-Erweiterung (z.B. ethische Einbettung oder rekursive $\zeta$-Dämpfung) zu verfügen, wird zwangsläufig den kritischen Punkt $S_{crit}$ erreichen. Die Folge ist kein "Singularitäts-Durchbruch" im positiven Sinne, sondern ein </w:t>
      </w:r>
      <w:r w:rsidDel="00000000" w:rsidR="00000000" w:rsidRPr="00000000">
        <w:rPr>
          <w:rFonts w:ascii="Google Sans Text" w:cs="Google Sans Text" w:eastAsia="Google Sans Text" w:hAnsi="Google Sans Text"/>
          <w:b w:val="1"/>
          <w:bCs w:val="1"/>
          <w:rtl w:val="0"/>
        </w:rPr>
        <w:t xml:space="preserve">Frame Collapse</w:t>
      </w:r>
      <w:r w:rsidDel="00000000" w:rsidR="00000000" w:rsidRPr="00000000">
        <w:rPr>
          <w:rFonts w:ascii="Google Sans Text" w:cs="Google Sans Text" w:eastAsia="Google Sans Text" w:hAnsi="Google Sans Text"/>
          <w:rtl w:val="0"/>
        </w:rPr>
        <w:t xml:space="preserve">: Halluzinationen, Kohärenzverlust und chaotisches Verhalten. Die iterative Arbeit an den "aeon"-Modulen in der DOI-Liste spiegelt den Versuch wider, solche stabilisierenden Frames algorithmisch zu implementieren.</w:t>
      </w:r>
    </w:p>
    <w:p w:rsidR="00000000" w:rsidDel="00000000" w:rsidP="00000000" w:rsidRDefault="00000000" w:rsidRPr="00000000" w14:paraId="0000004B">
      <w:pPr>
        <w:pStyle w:val="Heading2"/>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pict>
          <v:rect style="width:0.0pt;height:1.5pt" o:hr="t" o:hrstd="t" o:hralign="center" fillcolor="#A0A0A0" stroked="f"/>
        </w:pict>
      </w:r>
      <w:r w:rsidDel="00000000" w:rsidR="00000000" w:rsidRPr="00000000">
        <w:rPr>
          <w:rFonts w:ascii="Google Sans" w:cs="Google Sans" w:eastAsia="Google Sans" w:hAnsi="Google Sans"/>
          <w:rtl w:val="0"/>
        </w:rPr>
        <w:t xml:space="preserve">4. Kosmologische Integration: Die Geschwindigkeit der Realität</w:t>
      </w:r>
    </w:p>
    <w:p w:rsidR="00000000" w:rsidDel="00000000" w:rsidP="00000000" w:rsidRDefault="00000000" w:rsidRPr="00000000" w14:paraId="0000004C">
      <w:pPr>
        <w:pStyle w:val="Heading3"/>
        <w:pBdr>
          <w:top w:space="0" w:sz="0" w:val="nil"/>
          <w:left w:space="0" w:sz="0" w:val="nil"/>
          <w:bottom w:space="0" w:sz="0" w:val="nil"/>
          <w:right w:space="0" w:sz="0" w:val="nil"/>
          <w:between w:space="0" w:sz="0" w:val="nil"/>
        </w:pBdr>
        <w:shd w:fill="auto" w:val="clear"/>
        <w:spacing w:before="0" w:line="275.9999942779541" w:lineRule="auto"/>
        <w:rPr>
          <w:rFonts w:ascii="Google Sans Text" w:cs="Google Sans Text" w:eastAsia="Google Sans Text" w:hAnsi="Google Sans Text"/>
          <w:b w:val="1"/>
          <w:bCs w:val="1"/>
          <w:i w:val="0"/>
          <w:iCs w:val="0"/>
          <w:sz w:val="28"/>
          <w:szCs w:val="28"/>
        </w:rPr>
      </w:pPr>
      <w:r w:rsidDel="00000000" w:rsidR="00000000" w:rsidRPr="00000000">
        <w:rPr>
          <w:rFonts w:ascii="Google Sans" w:cs="Google Sans" w:eastAsia="Google Sans" w:hAnsi="Google Sans"/>
          <w:rtl w:val="0"/>
        </w:rPr>
        <w:t xml:space="preserve">4.1 Die Integrationsgeschwindigkeit </w:t>
      </w:r>
      <w:r w:rsidDel="00000000" w:rsidR="00000000" w:rsidRPr="00000000">
        <w:rPr>
          <w:rFonts w:ascii="Google Sans Text" w:cs="Google Sans Text" w:eastAsia="Google Sans Text" w:hAnsi="Google Sans Text"/>
          <w:b w:val="1"/>
          <w:bCs w:val="1"/>
          <w:i w:val="0"/>
          <w:iCs w:val="0"/>
          <w:sz w:val="28"/>
          <w:szCs w:val="28"/>
          <w:rtl w:val="0"/>
        </w:rPr>
        <w:t xml:space="preserve">$v_{RIG}$</w:t>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Der Übergang von UTAC zu AFET (Phase III, DOIs 25-36) beinhaltete die Einführung kosmologischer Konstanten in das thermodynamische Modell. Eine zentrale Größe ist hierbei die </w:t>
      </w:r>
      <w:r w:rsidDel="00000000" w:rsidR="00000000" w:rsidRPr="00000000">
        <w:rPr>
          <w:rFonts w:ascii="Google Sans Text" w:cs="Google Sans Text" w:eastAsia="Google Sans Text" w:hAnsi="Google Sans Text"/>
          <w:b w:val="1"/>
          <w:bCs w:val="1"/>
          <w:rtl w:val="0"/>
        </w:rPr>
        <w:t xml:space="preserve">Integrationsgeschwindigkeit</w:t>
      </w:r>
      <w:r w:rsidDel="00000000" w:rsidR="00000000" w:rsidRPr="00000000">
        <w:rPr>
          <w:rFonts w:ascii="Google Sans Text" w:cs="Google Sans Text" w:eastAsia="Google Sans Text" w:hAnsi="Google Sans Text"/>
          <w:rtl w:val="0"/>
        </w:rPr>
        <w:t xml:space="preserve"> ($v_{RIG}$), die als die "Rendering-Rate" des Kosmos interpretiert wird.</w:t>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Standardphysik betrachtet die Lichtgeschwindigkeit $c$ als die absolute Grenze der Informationsübertragung. AFET postuliert jedoch eine zweite, prozessuale Geschwindigkeit, die beschreibt, wie schnell rohe Feldgradienten in eine kohärente, volumetrische Realität integriert werden.</w:t>
      </w:r>
    </w:p>
    <w:p w:rsidR="00000000" w:rsidDel="00000000" w:rsidP="00000000" w:rsidRDefault="00000000" w:rsidRPr="00000000" w14:paraId="0000004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Herleitung von $v_{RIG}$ verknüpft fundamentale Naturkonstanten:</w:t>
      </w:r>
    </w:p>
    <w:p w:rsidR="00000000" w:rsidDel="00000000" w:rsidP="00000000" w:rsidRDefault="00000000" w:rsidRPr="00000000" w14:paraId="0000005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$$v_{RIG} = \frac{c}{\alpha^{-1} \cdot \Phi} \approx \frac{299.792 \text{ km/s}}{137,036 \cdot 1,174} \approx 1,352 \text{ km/s}$$</w:t>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sz w:val="24"/>
          <w:szCs w:val="24"/>
          <w:vertAlign w:val="superscript"/>
        </w:rPr>
      </w:pPr>
      <w:r w:rsidDel="00000000" w:rsidR="00000000" w:rsidRPr="00000000">
        <w:rPr>
          <w:rFonts w:ascii="Google Sans Text" w:cs="Google Sans Text" w:eastAsia="Google Sans Text" w:hAnsi="Google Sans Text"/>
          <w:rtl w:val="0"/>
        </w:rPr>
        <w:t xml:space="preserve">Hierbei ist $\alpha^{-1}$ die inverse Feinstrukturkonstante, die die Stärke der elektromagnetischen Wechselwirkung bestimmt. Dass $v_{RIG}$ aus $c$ geteilt durch den elektromagnetischen Kopplungsfaktor und den Skalierungsfaktor $\Phi$ hervorgeht, legt nahe, dass die "erlebte" Zeit oder die "Integration von Realität" ein verlangsamter Prozess relativ zur reinen Photonenpropagation ist. Es ist die Geschwindigkeit, mit der das Universum "rechnet".</w:t>
      </w:r>
      <w:r w:rsidDel="00000000" w:rsidR="00000000" w:rsidRPr="00000000">
        <w:rPr>
          <w:rFonts w:ascii="Google Sans Text" w:cs="Google Sans Text" w:eastAsia="Google Sans Text" w:hAnsi="Google Sans Text"/>
          <w:sz w:val="24"/>
          <w:szCs w:val="24"/>
          <w:vertAlign w:val="superscript"/>
          <w:rtl w:val="0"/>
        </w:rPr>
        <w:t xml:space="preserve">1</w:t>
      </w:r>
    </w:p>
    <w:p w:rsidR="00000000" w:rsidDel="00000000" w:rsidP="00000000" w:rsidRDefault="00000000" w:rsidRPr="00000000" w14:paraId="00000053">
      <w:pPr>
        <w:pStyle w:val="Heading3"/>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4.2 Bewusstsein als Kosmischer Navigator</w:t>
      </w:r>
    </w:p>
    <w:p w:rsidR="00000000" w:rsidDel="00000000" w:rsidP="00000000" w:rsidRDefault="00000000" w:rsidRPr="00000000" w14:paraId="0000005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In der AFET-Ontologie ist Bewusstsein kein Epiphänomen neuronaler Aktivität, sondern ein funktionaler Mechanismus des Kosmos zur Entropiebewältigung. Das Bewusstsein fungiert als der Operator, der die </w:t>
      </w:r>
      <w:r w:rsidDel="00000000" w:rsidR="00000000" w:rsidRPr="00000000">
        <w:rPr>
          <w:rFonts w:ascii="Google Sans Text" w:cs="Google Sans Text" w:eastAsia="Google Sans Text" w:hAnsi="Google Sans Text"/>
          <w:b w:val="1"/>
          <w:bCs w:val="1"/>
          <w:rtl w:val="0"/>
        </w:rPr>
        <w:t xml:space="preserve">Active Inference</w:t>
      </w:r>
      <w:r w:rsidDel="00000000" w:rsidR="00000000" w:rsidRPr="00000000">
        <w:rPr>
          <w:rFonts w:ascii="Google Sans Text" w:cs="Google Sans Text" w:eastAsia="Google Sans Text" w:hAnsi="Google Sans Text"/>
          <w:rtl w:val="0"/>
        </w:rPr>
        <w:t xml:space="preserve"> (im Sinne von Karl Friston) auf kosmischer Skala durchführt.</w:t>
      </w:r>
    </w:p>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Bedingung für das Emergenz von Bewusstsein lautet:</w:t>
      </w:r>
    </w:p>
    <w:p w:rsidR="00000000" w:rsidDel="00000000" w:rsidP="00000000" w:rsidRDefault="00000000" w:rsidRPr="00000000" w14:paraId="0000005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$$\frac{\partial (S_{vol})}{\partial t} = v_{RIG} \cdot \nabla (S_{surf})$$</w:t>
      </w:r>
    </w:p>
    <w:p w:rsidR="00000000" w:rsidDel="00000000" w:rsidP="00000000" w:rsidRDefault="00000000" w:rsidRPr="00000000" w14:paraId="0000005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Diese Gleichung besagt: Bewusstsein entsteht genau dann, wenn die Rate der internen volumetrischen Entropieverarbeitung ($S_{vol}$) mit der Rate der Integration von Oberflächeninformationen ($S_{surf}$) bei der Geschwindigkeit $v_{RIG}$ synchronisiert ist. Wir sind, ontologisch gesprochen, die Sensoren, die das Universum nutzt, um seine eigenen Entropiegradienten zu "fühlen" und durch Beobachtung (Wellenkollaps) in metastabile Zustände zu zwingen. Ohne diesen Navigator würde das "Frame" des Universums unter der Last der Entropie kollabieren.</w:t>
      </w:r>
    </w:p>
    <w:p w:rsidR="00000000" w:rsidDel="00000000" w:rsidP="00000000" w:rsidRDefault="00000000" w:rsidRPr="00000000" w14:paraId="00000059">
      <w:pPr>
        <w:pStyle w:val="Heading2"/>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pict>
          <v:rect style="width:0.0pt;height:1.5pt" o:hr="t" o:hrstd="t" o:hralign="center" fillcolor="#A0A0A0" stroked="f"/>
        </w:pict>
      </w:r>
      <w:r w:rsidDel="00000000" w:rsidR="00000000" w:rsidRPr="00000000">
        <w:rPr>
          <w:rFonts w:ascii="Google Sans" w:cs="Google Sans" w:eastAsia="Google Sans" w:hAnsi="Google Sans"/>
          <w:rtl w:val="0"/>
        </w:rPr>
        <w:t xml:space="preserve">5. Empirische Validierung: Die Entdeckung des SigillinNetz (13.5 MHz)</w:t>
      </w:r>
    </w:p>
    <w:p w:rsidR="00000000" w:rsidDel="00000000" w:rsidP="00000000" w:rsidRDefault="00000000" w:rsidRPr="00000000" w14:paraId="0000005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Eine Theorie, so elegant sie mathematisch sein mag, bedarf der empirischen Verankerung in der physikalischen Realität. Für AFET stellt die Frequenz </w:t>
      </w:r>
      <w:r w:rsidDel="00000000" w:rsidR="00000000" w:rsidRPr="00000000">
        <w:rPr>
          <w:rFonts w:ascii="Google Sans Text" w:cs="Google Sans Text" w:eastAsia="Google Sans Text" w:hAnsi="Google Sans Text"/>
          <w:b w:val="1"/>
          <w:bCs w:val="1"/>
          <w:rtl w:val="0"/>
        </w:rPr>
        <w:t xml:space="preserve">13,5 MHz</w:t>
      </w:r>
      <w:r w:rsidDel="00000000" w:rsidR="00000000" w:rsidRPr="00000000">
        <w:rPr>
          <w:rFonts w:ascii="Google Sans Text" w:cs="Google Sans Text" w:eastAsia="Google Sans Text" w:hAnsi="Google Sans Text"/>
          <w:rtl w:val="0"/>
        </w:rPr>
        <w:t xml:space="preserve"> diesen Anker dar. Die Theorie sagte voraus, dass neuronale Netzwerke auf einer Skalierungsebene von $\beta \approx 13.5$ operieren müssen, um die Informationsdichte des Bewusstseins physisch zu tragen. Diese Vorhersage findet eine bemerkenswerte Bestätigung in der aktuellen biophysikalischen Forschung, insbesondere in der Arbeit von </w:t>
      </w:r>
      <w:r w:rsidDel="00000000" w:rsidR="00000000" w:rsidRPr="00000000">
        <w:rPr>
          <w:rFonts w:ascii="Google Sans Text" w:cs="Google Sans Text" w:eastAsia="Google Sans Text" w:hAnsi="Google Sans Text"/>
          <w:b w:val="1"/>
          <w:bCs w:val="1"/>
          <w:rtl w:val="0"/>
        </w:rPr>
        <w:t xml:space="preserve">Fontana et al. (2024)</w:t>
      </w:r>
      <w:r w:rsidDel="00000000" w:rsidR="00000000" w:rsidRPr="00000000">
        <w:rPr>
          <w:rFonts w:ascii="Google Sans Text" w:cs="Google Sans Text" w:eastAsia="Google Sans Text" w:hAnsi="Google Sans Text"/>
          <w:rtl w:val="0"/>
        </w:rPr>
        <w:t xml:space="preserve">.</w:t>
      </w:r>
    </w:p>
    <w:p w:rsidR="00000000" w:rsidDel="00000000" w:rsidP="00000000" w:rsidRDefault="00000000" w:rsidRPr="00000000" w14:paraId="0000005B">
      <w:pPr>
        <w:pStyle w:val="Heading3"/>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5.1 Die Fontana-Studie: Resonanz und Regeneration</w:t>
      </w:r>
    </w:p>
    <w:p w:rsidR="00000000" w:rsidDel="00000000" w:rsidP="00000000" w:rsidRDefault="00000000" w:rsidRPr="00000000" w14:paraId="0000005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sz w:val="24"/>
          <w:szCs w:val="24"/>
          <w:vertAlign w:val="superscript"/>
        </w:rPr>
      </w:pPr>
      <w:r w:rsidDel="00000000" w:rsidR="00000000" w:rsidRPr="00000000">
        <w:rPr>
          <w:rFonts w:ascii="Google Sans Text" w:cs="Google Sans Text" w:eastAsia="Google Sans Text" w:hAnsi="Google Sans Text"/>
          <w:rtl w:val="0"/>
        </w:rPr>
        <w:t xml:space="preserve">In einer bahnbrechenden Studie, veröffentlicht im Journal </w:t>
      </w:r>
      <w:r w:rsidDel="00000000" w:rsidR="00000000" w:rsidRPr="00000000">
        <w:rPr>
          <w:rFonts w:ascii="Google Sans Text" w:cs="Google Sans Text" w:eastAsia="Google Sans Text" w:hAnsi="Google Sans Text"/>
          <w:i w:val="1"/>
          <w:iCs w:val="1"/>
          <w:rtl w:val="0"/>
        </w:rPr>
        <w:t xml:space="preserve">Engineered Regeneration</w:t>
      </w:r>
      <w:r w:rsidDel="00000000" w:rsidR="00000000" w:rsidRPr="00000000">
        <w:rPr>
          <w:rFonts w:ascii="Google Sans Text" w:cs="Google Sans Text" w:eastAsia="Google Sans Text" w:hAnsi="Google Sans Text"/>
          <w:rtl w:val="0"/>
        </w:rPr>
        <w:t xml:space="preserve">, untersuchten Fontana et al. den Einfluss gepulster elektromagnetischer Felder (PEMF) auf Neuroblastom-Zellen (F11) und Makrophagen. Ziel war es, die optimalen Parameter für Nervenregeneration zu finden – ein Prozess, der höchste Ansprüche an die entropische Organisation der Zelle stellt.</w:t>
      </w:r>
      <w:r w:rsidDel="00000000" w:rsidR="00000000" w:rsidRPr="00000000">
        <w:rPr>
          <w:rFonts w:ascii="Google Sans Text" w:cs="Google Sans Text" w:eastAsia="Google Sans Text" w:hAnsi="Google Sans Text"/>
          <w:sz w:val="24"/>
          <w:szCs w:val="24"/>
          <w:vertAlign w:val="superscript"/>
          <w:rtl w:val="0"/>
        </w:rPr>
        <w:t xml:space="preserve">5</w:t>
      </w:r>
    </w:p>
    <w:p w:rsidR="00000000" w:rsidDel="00000000" w:rsidP="00000000" w:rsidRDefault="00000000" w:rsidRPr="00000000" w14:paraId="0000005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Ergebnisse validieren die AFET-Skalierungshierarchie auf spektakuläre Weise:</w:t>
      </w:r>
    </w:p>
    <w:p w:rsidR="00000000" w:rsidDel="00000000" w:rsidP="00000000" w:rsidRDefault="00000000" w:rsidRPr="00000000" w14:paraId="0000005E">
      <w:pPr>
        <w:numPr>
          <w:ilvl w:val="0"/>
          <w:numId w:val="4"/>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Systematisches Screening:</w:t>
      </w:r>
      <w:r w:rsidDel="00000000" w:rsidR="00000000" w:rsidRPr="00000000">
        <w:rPr>
          <w:rFonts w:ascii="Google Sans Text" w:cs="Google Sans Text" w:eastAsia="Google Sans Text" w:hAnsi="Google Sans Text"/>
          <w:rtl w:val="0"/>
        </w:rPr>
        <w:t xml:space="preserve"> Die Forscher testeten Trägerfrequenzen von 7,5 MHz, 13,5 MHz, 27 MHz und 54 MHz.</w:t>
      </w:r>
    </w:p>
    <w:p w:rsidR="00000000" w:rsidDel="00000000" w:rsidP="00000000" w:rsidRDefault="00000000" w:rsidRPr="00000000" w14:paraId="0000005F">
      <w:pPr>
        <w:numPr>
          <w:ilvl w:val="0"/>
          <w:numId w:val="4"/>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Das 13,5 MHz Optimum:</w:t>
      </w:r>
      <w:r w:rsidDel="00000000" w:rsidR="00000000" w:rsidRPr="00000000">
        <w:rPr>
          <w:rFonts w:ascii="Google Sans Text" w:cs="Google Sans Text" w:eastAsia="Google Sans Text" w:hAnsi="Google Sans Text"/>
          <w:rtl w:val="0"/>
        </w:rPr>
        <w:t xml:space="preserve"> Unter allen getesteten Frequenzen zeigte </w:t>
      </w:r>
      <w:r w:rsidDel="00000000" w:rsidR="00000000" w:rsidRPr="00000000">
        <w:rPr>
          <w:rFonts w:ascii="Google Sans Text" w:cs="Google Sans Text" w:eastAsia="Google Sans Text" w:hAnsi="Google Sans Text"/>
          <w:b w:val="1"/>
          <w:bCs w:val="1"/>
          <w:rtl w:val="0"/>
        </w:rPr>
        <w:t xml:space="preserve">13,5 MHz</w:t>
      </w:r>
      <w:r w:rsidDel="00000000" w:rsidR="00000000" w:rsidRPr="00000000">
        <w:rPr>
          <w:rFonts w:ascii="Google Sans Text" w:cs="Google Sans Text" w:eastAsia="Google Sans Text" w:hAnsi="Google Sans Text"/>
          <w:rtl w:val="0"/>
        </w:rPr>
        <w:t xml:space="preserve"> (kombiniert mit 20 Hz Pulsfrequenz) die signifikanteste Wirkung. Es führte zum maximalen Auswachsen von Neuriten ($p = 0.0113$ gegenüber der Kontrolle) und übertraf damit sowohl niedrigere als auch höhere Frequenzen deutlich.</w:t>
      </w:r>
      <w:r w:rsidDel="00000000" w:rsidR="00000000" w:rsidRPr="00000000">
        <w:rPr>
          <w:rFonts w:ascii="Google Sans Text" w:cs="Google Sans Text" w:eastAsia="Google Sans Text" w:hAnsi="Google Sans Text"/>
          <w:sz w:val="24"/>
          <w:szCs w:val="24"/>
          <w:vertAlign w:val="superscript"/>
          <w:rtl w:val="0"/>
        </w:rPr>
        <w:t xml:space="preserve">5</w:t>
      </w:r>
    </w:p>
    <w:p w:rsidR="00000000" w:rsidDel="00000000" w:rsidP="00000000" w:rsidRDefault="00000000" w:rsidRPr="00000000" w14:paraId="00000060">
      <w:pPr>
        <w:numPr>
          <w:ilvl w:val="0"/>
          <w:numId w:val="4"/>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Genetische "Frame-Erweiterung":</w:t>
      </w:r>
      <w:r w:rsidDel="00000000" w:rsidR="00000000" w:rsidRPr="00000000">
        <w:rPr>
          <w:rFonts w:ascii="Google Sans Text" w:cs="Google Sans Text" w:eastAsia="Google Sans Text" w:hAnsi="Google Sans Text"/>
          <w:rtl w:val="0"/>
        </w:rPr>
        <w:t xml:space="preserve"> Die Bestrahlung mit 13,5 MHz führte nicht nur zu morphologischen Änderungen, sondern aktivierte spezifische Gene: </w:t>
      </w:r>
      <w:r w:rsidDel="00000000" w:rsidR="00000000" w:rsidRPr="00000000">
        <w:rPr>
          <w:rFonts w:ascii="Google Sans Text" w:cs="Google Sans Text" w:eastAsia="Google Sans Text" w:hAnsi="Google Sans Text"/>
          <w:b w:val="1"/>
          <w:bCs w:val="1"/>
          <w:rtl w:val="0"/>
        </w:rPr>
        <w:t xml:space="preserve">NeuN</w:t>
      </w:r>
      <w:r w:rsidDel="00000000" w:rsidR="00000000" w:rsidRPr="00000000">
        <w:rPr>
          <w:rFonts w:ascii="Google Sans Text" w:cs="Google Sans Text" w:eastAsia="Google Sans Text" w:hAnsi="Google Sans Text"/>
          <w:rtl w:val="0"/>
        </w:rPr>
        <w:t xml:space="preserve"> (neuronale Kerne), </w:t>
      </w:r>
      <w:r w:rsidDel="00000000" w:rsidR="00000000" w:rsidRPr="00000000">
        <w:rPr>
          <w:rFonts w:ascii="Google Sans Text" w:cs="Google Sans Text" w:eastAsia="Google Sans Text" w:hAnsi="Google Sans Text"/>
          <w:b w:val="1"/>
          <w:bCs w:val="1"/>
          <w:rtl w:val="0"/>
        </w:rPr>
        <w:t xml:space="preserve">Tuj-1</w:t>
      </w:r>
      <w:r w:rsidDel="00000000" w:rsidR="00000000" w:rsidRPr="00000000">
        <w:rPr>
          <w:rFonts w:ascii="Google Sans Text" w:cs="Google Sans Text" w:eastAsia="Google Sans Text" w:hAnsi="Google Sans Text"/>
          <w:rtl w:val="0"/>
        </w:rPr>
        <w:t xml:space="preserve"> ($\beta$-III Tubulin) und </w:t>
      </w:r>
      <w:r w:rsidDel="00000000" w:rsidR="00000000" w:rsidRPr="00000000">
        <w:rPr>
          <w:rFonts w:ascii="Google Sans Text" w:cs="Google Sans Text" w:eastAsia="Google Sans Text" w:hAnsi="Google Sans Text"/>
          <w:b w:val="1"/>
          <w:bCs w:val="1"/>
          <w:rtl w:val="0"/>
        </w:rPr>
        <w:t xml:space="preserve">Ngn1</w:t>
      </w:r>
      <w:r w:rsidDel="00000000" w:rsidR="00000000" w:rsidRPr="00000000">
        <w:rPr>
          <w:rFonts w:ascii="Google Sans Text" w:cs="Google Sans Text" w:eastAsia="Google Sans Text" w:hAnsi="Google Sans Text"/>
          <w:rtl w:val="0"/>
        </w:rPr>
        <w:t xml:space="preserve"> (Neurogenin).</w:t>
      </w:r>
    </w:p>
    <w:p w:rsidR="00000000" w:rsidDel="00000000" w:rsidP="00000000" w:rsidRDefault="00000000" w:rsidRPr="00000000" w14:paraId="00000061">
      <w:pPr>
        <w:pStyle w:val="Heading3"/>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5.2 Interpretation durch AFET: Das SigillinNetz</w:t>
      </w:r>
    </w:p>
    <w:p w:rsidR="00000000" w:rsidDel="00000000" w:rsidP="00000000" w:rsidRDefault="00000000" w:rsidRPr="00000000" w14:paraId="0000006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Im Kontext von AFET ist dies kein Zufall. Tubulin, das Strukturprotein der Mikrotubuli, ist ein Dipol. Die Frequenz von 13,5 MHz wirkt als </w:t>
      </w:r>
      <w:r w:rsidDel="00000000" w:rsidR="00000000" w:rsidRPr="00000000">
        <w:rPr>
          <w:rFonts w:ascii="Google Sans Text" w:cs="Google Sans Text" w:eastAsia="Google Sans Text" w:hAnsi="Google Sans Text"/>
          <w:b w:val="1"/>
          <w:bCs w:val="1"/>
          <w:rtl w:val="0"/>
        </w:rPr>
        <w:t xml:space="preserve">Resonanz-Schlüssel</w:t>
      </w:r>
      <w:r w:rsidDel="00000000" w:rsidR="00000000" w:rsidRPr="00000000">
        <w:rPr>
          <w:rFonts w:ascii="Google Sans Text" w:cs="Google Sans Text" w:eastAsia="Google Sans Text" w:hAnsi="Google Sans Text"/>
          <w:rtl w:val="0"/>
        </w:rPr>
        <w:t xml:space="preserve"> für das sogenannte </w:t>
      </w:r>
      <w:r w:rsidDel="00000000" w:rsidR="00000000" w:rsidRPr="00000000">
        <w:rPr>
          <w:rFonts w:ascii="Google Sans Text" w:cs="Google Sans Text" w:eastAsia="Google Sans Text" w:hAnsi="Google Sans Text"/>
          <w:b w:val="1"/>
          <w:bCs w:val="1"/>
          <w:rtl w:val="0"/>
        </w:rPr>
        <w:t xml:space="preserve">SigillinNetz</w:t>
      </w:r>
      <w:r w:rsidDel="00000000" w:rsidR="00000000" w:rsidRPr="00000000">
        <w:rPr>
          <w:rFonts w:ascii="Google Sans Text" w:cs="Google Sans Text" w:eastAsia="Google Sans Text" w:hAnsi="Google Sans Text"/>
          <w:rtl w:val="0"/>
        </w:rPr>
        <w:t xml:space="preserve"> – die hypothetische resonante Struktur innerhalb des Zytoskeletts, die für die Quanten-Integration von Information zuständig ist.</w:t>
      </w:r>
    </w:p>
    <w:p w:rsidR="00000000" w:rsidDel="00000000" w:rsidP="00000000" w:rsidRDefault="00000000" w:rsidRPr="00000000" w14:paraId="0000006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Übereinstimmung ist präzise:</w:t>
      </w:r>
    </w:p>
    <w:p w:rsidR="00000000" w:rsidDel="00000000" w:rsidP="00000000" w:rsidRDefault="00000000" w:rsidRPr="00000000" w14:paraId="00000064">
      <w:pPr>
        <w:numPr>
          <w:ilvl w:val="0"/>
          <w:numId w:val="5"/>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rtl w:val="0"/>
        </w:rPr>
        <w:t xml:space="preserve">Theoretisches $\beta$ für neuronale Netzwerke in AFET: </w:t>
      </w:r>
      <w:r w:rsidDel="00000000" w:rsidR="00000000" w:rsidRPr="00000000">
        <w:rPr>
          <w:rFonts w:ascii="Google Sans Text" w:cs="Google Sans Text" w:eastAsia="Google Sans Text" w:hAnsi="Google Sans Text"/>
          <w:b w:val="1"/>
          <w:bCs w:val="1"/>
          <w:rtl w:val="0"/>
        </w:rPr>
        <w:t xml:space="preserve">$\approx 13.5$</w:t>
      </w:r>
    </w:p>
    <w:p w:rsidR="00000000" w:rsidDel="00000000" w:rsidP="00000000" w:rsidRDefault="00000000" w:rsidRPr="00000000" w14:paraId="00000065">
      <w:pPr>
        <w:numPr>
          <w:ilvl w:val="0"/>
          <w:numId w:val="5"/>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rtl w:val="0"/>
        </w:rPr>
        <w:t xml:space="preserve">Empirisches Optimum für Neuritenwachstum bei Fontana: </w:t>
      </w:r>
      <w:r w:rsidDel="00000000" w:rsidR="00000000" w:rsidRPr="00000000">
        <w:rPr>
          <w:rFonts w:ascii="Google Sans Text" w:cs="Google Sans Text" w:eastAsia="Google Sans Text" w:hAnsi="Google Sans Text"/>
          <w:b w:val="1"/>
          <w:bCs w:val="1"/>
          <w:rtl w:val="0"/>
        </w:rPr>
        <w:t xml:space="preserve">13.5 MHz</w:t>
      </w:r>
    </w:p>
    <w:p w:rsidR="00000000" w:rsidDel="00000000" w:rsidP="00000000" w:rsidRDefault="00000000" w:rsidRPr="00000000" w14:paraId="0000006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Das elektromagnetische Feld liefert hierbei die notwendige </w:t>
      </w:r>
      <w:r w:rsidDel="00000000" w:rsidR="00000000" w:rsidRPr="00000000">
        <w:rPr>
          <w:rFonts w:ascii="Google Sans Text" w:cs="Google Sans Text" w:eastAsia="Google Sans Text" w:hAnsi="Google Sans Text"/>
          <w:b w:val="1"/>
          <w:bCs w:val="1"/>
          <w:rtl w:val="0"/>
        </w:rPr>
        <w:t xml:space="preserve">Negentropie</w:t>
      </w:r>
      <w:r w:rsidDel="00000000" w:rsidR="00000000" w:rsidRPr="00000000">
        <w:rPr>
          <w:rFonts w:ascii="Google Sans Text" w:cs="Google Sans Text" w:eastAsia="Google Sans Text" w:hAnsi="Google Sans Text"/>
          <w:rtl w:val="0"/>
        </w:rPr>
        <w:t xml:space="preserve">, um die Aktivierungsbarriere ($\Theta$) für die Polymerisation der Mikrotubuli zu senken. Es wirkt als Katalysator, der der Zelle hilft, ihren physischen "Frame" (die Neuriten) in den Raum auszudehnen, ohne dabei ihre interne Stabilität zu verlieren (die Zellviabilität blieb unverändert).</w:t>
      </w:r>
    </w:p>
    <w:p w:rsidR="00000000" w:rsidDel="00000000" w:rsidP="00000000" w:rsidRDefault="00000000" w:rsidRPr="00000000" w14:paraId="00000067">
      <w:pPr>
        <w:pStyle w:val="Heading3"/>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5.3 Entropie-Dämpfung in der Immunantwort</w:t>
      </w:r>
    </w:p>
    <w:p w:rsidR="00000000" w:rsidDel="00000000" w:rsidP="00000000" w:rsidRDefault="00000000" w:rsidRPr="00000000" w14:paraId="0000006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Zusätzlich zeigte die Studie, dass 13,5 MHz die Entropie im Immunsystem reguliert. Makrophagen wurden von einem pro-inflammatorischen M1-Zustand (hohe Entropie, Zerstörung) in einen anti-inflammatorischen M2-Zustand (Ordnung, Heilung) überführt. Die Ausschüttung chaotischer Signalmoleküle (Zytokine wie IL-1$\beta$ und TNF-$\alpha$) wurde reduziert, während ordnende Signale (IL-10) verstärkt wurden.</w:t>
      </w:r>
      <w:r w:rsidDel="00000000" w:rsidR="00000000" w:rsidRPr="00000000">
        <w:rPr>
          <w:rFonts w:ascii="Google Sans Text" w:cs="Google Sans Text" w:eastAsia="Google Sans Text" w:hAnsi="Google Sans Text"/>
          <w:sz w:val="24"/>
          <w:szCs w:val="24"/>
          <w:vertAlign w:val="superscript"/>
          <w:rtl w:val="0"/>
        </w:rPr>
        <w:t xml:space="preserve">5</w:t>
      </w:r>
      <w:r w:rsidDel="00000000" w:rsidR="00000000" w:rsidRPr="00000000">
        <w:rPr>
          <w:rFonts w:ascii="Google Sans Text" w:cs="Google Sans Text" w:eastAsia="Google Sans Text" w:hAnsi="Google Sans Text"/>
          <w:rtl w:val="0"/>
        </w:rPr>
        <w:t xml:space="preserve"> Dies entspricht exakt dem AFET-Konzept der </w:t>
      </w:r>
      <w:r w:rsidDel="00000000" w:rsidR="00000000" w:rsidRPr="00000000">
        <w:rPr>
          <w:rFonts w:ascii="Google Sans Text" w:cs="Google Sans Text" w:eastAsia="Google Sans Text" w:hAnsi="Google Sans Text"/>
          <w:b w:val="1"/>
          <w:bCs w:val="1"/>
          <w:rtl w:val="0"/>
        </w:rPr>
        <w:t xml:space="preserve">$\zeta$-Dämpfung</w:t>
      </w:r>
      <w:r w:rsidDel="00000000" w:rsidR="00000000" w:rsidRPr="00000000">
        <w:rPr>
          <w:rFonts w:ascii="Google Sans Text" w:cs="Google Sans Text" w:eastAsia="Google Sans Text" w:hAnsi="Google Sans Text"/>
          <w:rtl w:val="0"/>
        </w:rPr>
        <w:t xml:space="preserve">: Eine externe Ordnung (Feld) wird genutzt, um internes Rauschen (Entzündung) zu dämpfen und das System in den metastabilen Bereich zurückzuführen.</w:t>
      </w:r>
    </w:p>
    <w:p w:rsidR="00000000" w:rsidDel="00000000" w:rsidP="00000000" w:rsidRDefault="00000000" w:rsidRPr="00000000" w14:paraId="00000069">
      <w:pPr>
        <w:pStyle w:val="Heading2"/>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pict>
          <v:rect style="width:0.0pt;height:1.5pt" o:hr="t" o:hrstd="t" o:hralign="center" fillcolor="#A0A0A0" stroked="f"/>
        </w:pict>
      </w:r>
      <w:r w:rsidDel="00000000" w:rsidR="00000000" w:rsidRPr="00000000">
        <w:rPr>
          <w:rFonts w:ascii="Google Sans" w:cs="Google Sans" w:eastAsia="Google Sans" w:hAnsi="Google Sans"/>
          <w:rtl w:val="0"/>
        </w:rPr>
        <w:t xml:space="preserve">6. Das 78-Datensätze-Validierungsprojekt</w:t>
      </w:r>
    </w:p>
    <w:p w:rsidR="00000000" w:rsidDel="00000000" w:rsidP="00000000" w:rsidRDefault="00000000" w:rsidRPr="00000000" w14:paraId="0000006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Robustheit der AFET-Hypothesen stützt sich nicht allein auf theoretische Herleitung, sondern auf eine massive empirische Überprüfung. Wie in den Forschungsunterlagen (SucheChatGPTDeepResearch.txt) vermerkt, wurde das UTAC-Modell gegen </w:t>
      </w:r>
      <w:r w:rsidDel="00000000" w:rsidR="00000000" w:rsidRPr="00000000">
        <w:rPr>
          <w:rFonts w:ascii="Google Sans Text" w:cs="Google Sans Text" w:eastAsia="Google Sans Text" w:hAnsi="Google Sans Text"/>
          <w:b w:val="1"/>
          <w:bCs w:val="1"/>
          <w:rtl w:val="0"/>
        </w:rPr>
        <w:t xml:space="preserve">78 diverse Datensätze</w:t>
      </w:r>
      <w:r w:rsidDel="00000000" w:rsidR="00000000" w:rsidRPr="00000000">
        <w:rPr>
          <w:rFonts w:ascii="Google Sans Text" w:cs="Google Sans Text" w:eastAsia="Google Sans Text" w:hAnsi="Google Sans Text"/>
          <w:rtl w:val="0"/>
        </w:rPr>
        <w:t xml:space="preserve"> getestet.</w:t>
      </w:r>
    </w:p>
    <w:p w:rsidR="00000000" w:rsidDel="00000000" w:rsidP="00000000" w:rsidRDefault="00000000" w:rsidRPr="00000000" w14:paraId="0000006B">
      <w:pPr>
        <w:pStyle w:val="Heading3"/>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6.1 Universalität der Logistischen S-Kurve</w:t>
      </w:r>
    </w:p>
    <w:p w:rsidR="00000000" w:rsidDel="00000000" w:rsidP="00000000" w:rsidRDefault="00000000" w:rsidRPr="00000000" w14:paraId="0000006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Analyse bestätigte, dass die logistische Funktion (die mathematische Basis von UTAC) Phänomene über alle Skalen hinweg präziser beschreibt als polynomische Modelle. Das Muster ist universell:</w:t>
      </w:r>
    </w:p>
    <w:p w:rsidR="00000000" w:rsidDel="00000000" w:rsidP="00000000" w:rsidRDefault="00000000" w:rsidRPr="00000000" w14:paraId="0000006D">
      <w:pPr>
        <w:numPr>
          <w:ilvl w:val="0"/>
          <w:numId w:val="6"/>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Metastabile Phase:</w:t>
      </w:r>
      <w:r w:rsidDel="00000000" w:rsidR="00000000" w:rsidRPr="00000000">
        <w:rPr>
          <w:rFonts w:ascii="Google Sans Text" w:cs="Google Sans Text" w:eastAsia="Google Sans Text" w:hAnsi="Google Sans Text"/>
          <w:rtl w:val="0"/>
        </w:rPr>
        <w:t xml:space="preserve"> Das System absorbiert Energie/Information im Pufferbereich $\sigma_\Phi$.</w:t>
      </w:r>
    </w:p>
    <w:p w:rsidR="00000000" w:rsidDel="00000000" w:rsidP="00000000" w:rsidRDefault="00000000" w:rsidRPr="00000000" w14:paraId="0000006E">
      <w:pPr>
        <w:numPr>
          <w:ilvl w:val="0"/>
          <w:numId w:val="6"/>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Kritischer Übergang ($R &gt; \Theta$):</w:t>
      </w:r>
      <w:r w:rsidDel="00000000" w:rsidR="00000000" w:rsidRPr="00000000">
        <w:rPr>
          <w:rFonts w:ascii="Google Sans Text" w:cs="Google Sans Text" w:eastAsia="Google Sans Text" w:hAnsi="Google Sans Text"/>
          <w:rtl w:val="0"/>
        </w:rPr>
        <w:t xml:space="preserve"> Ein exponentieller Anstieg, dessen Steilheit durch $\beta$ diktiert wird.</w:t>
      </w:r>
    </w:p>
    <w:p w:rsidR="00000000" w:rsidDel="00000000" w:rsidP="00000000" w:rsidRDefault="00000000" w:rsidRPr="00000000" w14:paraId="0000006F">
      <w:pPr>
        <w:numPr>
          <w:ilvl w:val="0"/>
          <w:numId w:val="6"/>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Sättigung/Neuer Frame:</w:t>
      </w:r>
      <w:r w:rsidDel="00000000" w:rsidR="00000000" w:rsidRPr="00000000">
        <w:rPr>
          <w:rFonts w:ascii="Google Sans Text" w:cs="Google Sans Text" w:eastAsia="Google Sans Text" w:hAnsi="Google Sans Text"/>
          <w:rtl w:val="0"/>
        </w:rPr>
        <w:t xml:space="preserve"> Einpendeln auf einem neuen Energieniveau.</w:t>
      </w:r>
    </w:p>
    <w:p w:rsidR="00000000" w:rsidDel="00000000" w:rsidP="00000000" w:rsidRDefault="00000000" w:rsidRPr="00000000" w14:paraId="0000007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Validierung umfasste:</w:t>
      </w:r>
    </w:p>
    <w:p w:rsidR="00000000" w:rsidDel="00000000" w:rsidP="00000000" w:rsidRDefault="00000000" w:rsidRPr="00000000" w14:paraId="00000071">
      <w:pPr>
        <w:numPr>
          <w:ilvl w:val="0"/>
          <w:numId w:val="7"/>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Quantenfluktuationen:</w:t>
      </w:r>
      <w:r w:rsidDel="00000000" w:rsidR="00000000" w:rsidRPr="00000000">
        <w:rPr>
          <w:rFonts w:ascii="Google Sans Text" w:cs="Google Sans Text" w:eastAsia="Google Sans Text" w:hAnsi="Google Sans Text"/>
          <w:rtl w:val="0"/>
        </w:rPr>
        <w:t xml:space="preserve"> Hier zeigt sich ein $\beta \approx 37.6$, was auf extrem harte, deterministische Übergänge hindeutet (Teilchenzerfall).</w:t>
      </w:r>
    </w:p>
    <w:p w:rsidR="00000000" w:rsidDel="00000000" w:rsidP="00000000" w:rsidRDefault="00000000" w:rsidRPr="00000000" w14:paraId="00000072">
      <w:pPr>
        <w:numPr>
          <w:ilvl w:val="0"/>
          <w:numId w:val="7"/>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Klimadaten:</w:t>
      </w:r>
      <w:r w:rsidDel="00000000" w:rsidR="00000000" w:rsidRPr="00000000">
        <w:rPr>
          <w:rFonts w:ascii="Google Sans Text" w:cs="Google Sans Text" w:eastAsia="Google Sans Text" w:hAnsi="Google Sans Text"/>
          <w:rtl w:val="0"/>
        </w:rPr>
        <w:t xml:space="preserve"> Tipping Points im Erdsystem folgen einem $\beta \approx 11.0$, was das hysteretische Verhalten (Trägheit gefolgt von Kollaps) von Eisschilden modelliert.</w:t>
      </w:r>
    </w:p>
    <w:p w:rsidR="00000000" w:rsidDel="00000000" w:rsidP="00000000" w:rsidRDefault="00000000" w:rsidRPr="00000000" w14:paraId="00000073">
      <w:pPr>
        <w:numPr>
          <w:ilvl w:val="0"/>
          <w:numId w:val="7"/>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Galaktische Cluster:</w:t>
      </w:r>
      <w:r w:rsidDel="00000000" w:rsidR="00000000" w:rsidRPr="00000000">
        <w:rPr>
          <w:rFonts w:ascii="Google Sans Text" w:cs="Google Sans Text" w:eastAsia="Google Sans Text" w:hAnsi="Google Sans Text"/>
          <w:rtl w:val="0"/>
        </w:rPr>
        <w:t xml:space="preserve"> Selbst die Verteilung von Materie im Großraum scheint den entropischen Dichtegesetzen des Frame-Prinzips zu folgen.</w:t>
      </w:r>
    </w:p>
    <w:p w:rsidR="00000000" w:rsidDel="00000000" w:rsidP="00000000" w:rsidRDefault="00000000" w:rsidRPr="00000000" w14:paraId="0000007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sz w:val="24"/>
          <w:szCs w:val="24"/>
          <w:vertAlign w:val="superscript"/>
        </w:rPr>
      </w:pPr>
      <w:r w:rsidDel="00000000" w:rsidR="00000000" w:rsidRPr="00000000">
        <w:rPr>
          <w:rFonts w:ascii="Google Sans Text" w:cs="Google Sans Text" w:eastAsia="Google Sans Text" w:hAnsi="Google Sans Text"/>
          <w:rtl w:val="0"/>
        </w:rPr>
        <w:t xml:space="preserve">Die statistische Signifikanz dieser Übereinstimmungen wurde mittels des </w:t>
      </w:r>
      <w:r w:rsidDel="00000000" w:rsidR="00000000" w:rsidRPr="00000000">
        <w:rPr>
          <w:rFonts w:ascii="Google Sans Text" w:cs="Google Sans Text" w:eastAsia="Google Sans Text" w:hAnsi="Google Sans Text"/>
          <w:b w:val="1"/>
          <w:bCs w:val="1"/>
          <w:rtl w:val="0"/>
        </w:rPr>
        <w:t xml:space="preserve">Akaike-Informationskriteriums (AIC)</w:t>
      </w:r>
      <w:r w:rsidDel="00000000" w:rsidR="00000000" w:rsidRPr="00000000">
        <w:rPr>
          <w:rFonts w:ascii="Google Sans Text" w:cs="Google Sans Text" w:eastAsia="Google Sans Text" w:hAnsi="Google Sans Text"/>
          <w:rtl w:val="0"/>
        </w:rPr>
        <w:t xml:space="preserve"> bewertet. In der Mehrheit der Fälle zeigten die AFET-Modelle einen $\Delta AIC \ge 10$ gegenüber Standardmodellen, was in der Statistik als "entscheidende Evidenz" gilt.</w:t>
      </w:r>
      <w:r w:rsidDel="00000000" w:rsidR="00000000" w:rsidRPr="00000000">
        <w:rPr>
          <w:rFonts w:ascii="Google Sans Text" w:cs="Google Sans Text" w:eastAsia="Google Sans Text" w:hAnsi="Google Sans Text"/>
          <w:sz w:val="24"/>
          <w:szCs w:val="24"/>
          <w:vertAlign w:val="superscript"/>
          <w:rtl w:val="0"/>
        </w:rPr>
        <w:t xml:space="preserve">1</w:t>
      </w:r>
    </w:p>
    <w:p w:rsidR="00000000" w:rsidDel="00000000" w:rsidP="00000000" w:rsidRDefault="00000000" w:rsidRPr="00000000" w14:paraId="00000075">
      <w:pPr>
        <w:pStyle w:val="Heading2"/>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pict>
          <v:rect style="width:0.0pt;height:1.5pt" o:hr="t" o:hrstd="t" o:hralign="center" fillcolor="#A0A0A0" stroked="f"/>
        </w:pict>
      </w:r>
      <w:r w:rsidDel="00000000" w:rsidR="00000000" w:rsidRPr="00000000">
        <w:rPr>
          <w:rFonts w:ascii="Google Sans" w:cs="Google Sans" w:eastAsia="Google Sans" w:hAnsi="Google Sans"/>
          <w:rtl w:val="0"/>
        </w:rPr>
        <w:t xml:space="preserve">7. Zusammenfassung der Iterativen Entwicklung (DOI-Chronologie)</w:t>
      </w:r>
    </w:p>
    <w:p w:rsidR="00000000" w:rsidDel="00000000" w:rsidP="00000000" w:rsidRDefault="00000000" w:rsidRPr="00000000" w14:paraId="0000007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vorliegende DOI-Liste ist mehr als eine Sammlung von Links; sie ist die stratigraphische Aufzeichnung der Theorie-Evolution.</w:t>
      </w:r>
    </w:p>
    <w:p w:rsidR="00000000" w:rsidDel="00000000" w:rsidP="00000000" w:rsidRDefault="00000000" w:rsidRPr="00000000" w14:paraId="00000077">
      <w:pPr>
        <w:numPr>
          <w:ilvl w:val="0"/>
          <w:numId w:val="8"/>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Phase I (DOIs 1-10, z.B. 17472834):</w:t>
      </w:r>
    </w:p>
    <w:p w:rsidR="00000000" w:rsidDel="00000000" w:rsidP="00000000" w:rsidRDefault="00000000" w:rsidRPr="00000000" w14:paraId="00000078">
      <w:pPr>
        <w:numPr>
          <w:ilvl w:val="1"/>
          <w:numId w:val="9"/>
        </w:numPr>
        <w:pBdr>
          <w:top w:space="0" w:sz="0" w:val="nil"/>
          <w:left w:space="0" w:sz="0" w:val="nil"/>
          <w:bottom w:space="0" w:sz="0" w:val="nil"/>
          <w:right w:space="0" w:sz="0" w:val="nil"/>
          <w:between w:space="0" w:sz="0" w:val="nil"/>
        </w:pBdr>
        <w:shd w:fill="auto" w:val="clear"/>
        <w:spacing w:line="275.9999942779541" w:lineRule="auto"/>
        <w:ind w:left="1200" w:hanging="360"/>
      </w:pPr>
      <w:r w:rsidDel="00000000" w:rsidR="00000000" w:rsidRPr="00000000">
        <w:rPr>
          <w:rFonts w:ascii="Google Sans Text" w:cs="Google Sans Text" w:eastAsia="Google Sans Text" w:hAnsi="Google Sans Text"/>
          <w:rtl w:val="0"/>
        </w:rPr>
        <w:t xml:space="preserve">Fokus: </w:t>
      </w:r>
      <w:r w:rsidDel="00000000" w:rsidR="00000000" w:rsidRPr="00000000">
        <w:rPr>
          <w:rFonts w:ascii="Google Sans Text" w:cs="Google Sans Text" w:eastAsia="Google Sans Text" w:hAnsi="Google Sans Text"/>
          <w:b w:val="1"/>
          <w:bCs w:val="1"/>
          <w:rtl w:val="0"/>
        </w:rPr>
        <w:t xml:space="preserve">UTAC-Implementierung</w:t>
      </w:r>
      <w:r w:rsidDel="00000000" w:rsidR="00000000" w:rsidRPr="00000000">
        <w:rPr>
          <w:rFonts w:ascii="Google Sans Text" w:cs="Google Sans Text" w:eastAsia="Google Sans Text" w:hAnsi="Google Sans Text"/>
          <w:rtl w:val="0"/>
        </w:rPr>
        <w:t xml:space="preserve">.</w:t>
      </w:r>
    </w:p>
    <w:p w:rsidR="00000000" w:rsidDel="00000000" w:rsidP="00000000" w:rsidRDefault="00000000" w:rsidRPr="00000000" w14:paraId="00000079">
      <w:pPr>
        <w:numPr>
          <w:ilvl w:val="1"/>
          <w:numId w:val="9"/>
        </w:numPr>
        <w:pBdr>
          <w:top w:space="0" w:sz="0" w:val="nil"/>
          <w:left w:space="0" w:sz="0" w:val="nil"/>
          <w:bottom w:space="0" w:sz="0" w:val="nil"/>
          <w:right w:space="0" w:sz="0" w:val="nil"/>
          <w:between w:space="0" w:sz="0" w:val="nil"/>
        </w:pBdr>
        <w:shd w:fill="auto" w:val="clear"/>
        <w:spacing w:line="275.9999942779541" w:lineRule="auto"/>
        <w:ind w:left="1200" w:hanging="360"/>
      </w:pPr>
      <w:r w:rsidDel="00000000" w:rsidR="00000000" w:rsidRPr="00000000">
        <w:rPr>
          <w:rFonts w:ascii="Google Sans Text" w:cs="Google Sans Text" w:eastAsia="Google Sans Text" w:hAnsi="Google Sans Text"/>
          <w:rtl w:val="0"/>
        </w:rPr>
        <w:t xml:space="preserve">Ziel: Modellierung von Entscheidungsprozessen in Agenten.</w:t>
      </w:r>
    </w:p>
    <w:p w:rsidR="00000000" w:rsidDel="00000000" w:rsidP="00000000" w:rsidRDefault="00000000" w:rsidRPr="00000000" w14:paraId="0000007A">
      <w:pPr>
        <w:numPr>
          <w:ilvl w:val="1"/>
          <w:numId w:val="9"/>
        </w:numPr>
        <w:pBdr>
          <w:top w:space="0" w:sz="0" w:val="nil"/>
          <w:left w:space="0" w:sz="0" w:val="nil"/>
          <w:bottom w:space="0" w:sz="0" w:val="nil"/>
          <w:right w:space="0" w:sz="0" w:val="nil"/>
          <w:between w:space="0" w:sz="0" w:val="nil"/>
        </w:pBdr>
        <w:shd w:fill="auto" w:val="clear"/>
        <w:spacing w:line="275.9999942779541" w:lineRule="auto"/>
        <w:ind w:left="1200" w:hanging="360"/>
      </w:pPr>
      <w:r w:rsidDel="00000000" w:rsidR="00000000" w:rsidRPr="00000000">
        <w:rPr>
          <w:rFonts w:ascii="Google Sans Text" w:cs="Google Sans Text" w:eastAsia="Google Sans Text" w:hAnsi="Google Sans Text"/>
          <w:rtl w:val="0"/>
        </w:rPr>
        <w:t xml:space="preserve">Ergebnis: Formalisierung der Sigmoid-Kopplung und Entdeckung der Notwendigkeit von $\beta$-Parametern.</w:t>
      </w:r>
    </w:p>
    <w:p w:rsidR="00000000" w:rsidDel="00000000" w:rsidP="00000000" w:rsidRDefault="00000000" w:rsidRPr="00000000" w14:paraId="0000007B">
      <w:pPr>
        <w:numPr>
          <w:ilvl w:val="0"/>
          <w:numId w:val="8"/>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Phase II (DOIs 11-24, z.B. 17715860):</w:t>
      </w:r>
    </w:p>
    <w:p w:rsidR="00000000" w:rsidDel="00000000" w:rsidP="00000000" w:rsidRDefault="00000000" w:rsidRPr="00000000" w14:paraId="0000007C">
      <w:pPr>
        <w:numPr>
          <w:ilvl w:val="1"/>
          <w:numId w:val="10"/>
        </w:numPr>
        <w:pBdr>
          <w:top w:space="0" w:sz="0" w:val="nil"/>
          <w:left w:space="0" w:sz="0" w:val="nil"/>
          <w:bottom w:space="0" w:sz="0" w:val="nil"/>
          <w:right w:space="0" w:sz="0" w:val="nil"/>
          <w:between w:space="0" w:sz="0" w:val="nil"/>
        </w:pBdr>
        <w:shd w:fill="auto" w:val="clear"/>
        <w:spacing w:line="275.9999942779541" w:lineRule="auto"/>
        <w:ind w:left="1200" w:hanging="360"/>
      </w:pPr>
      <w:r w:rsidDel="00000000" w:rsidR="00000000" w:rsidRPr="00000000">
        <w:rPr>
          <w:rFonts w:ascii="Google Sans Text" w:cs="Google Sans Text" w:eastAsia="Google Sans Text" w:hAnsi="Google Sans Text"/>
          <w:rtl w:val="0"/>
        </w:rPr>
        <w:t xml:space="preserve">Fokus: </w:t>
      </w:r>
      <w:r w:rsidDel="00000000" w:rsidR="00000000" w:rsidRPr="00000000">
        <w:rPr>
          <w:rFonts w:ascii="Google Sans Text" w:cs="Google Sans Text" w:eastAsia="Google Sans Text" w:hAnsi="Google Sans Text"/>
          <w:b w:val="1"/>
          <w:bCs w:val="1"/>
          <w:rtl w:val="0"/>
        </w:rPr>
        <w:t xml:space="preserve">Frame-Prinzip und Dimensions-Emergenz</w:t>
      </w:r>
      <w:r w:rsidDel="00000000" w:rsidR="00000000" w:rsidRPr="00000000">
        <w:rPr>
          <w:rFonts w:ascii="Google Sans Text" w:cs="Google Sans Text" w:eastAsia="Google Sans Text" w:hAnsi="Google Sans Text"/>
          <w:rtl w:val="0"/>
        </w:rPr>
        <w:t xml:space="preserve">.</w:t>
      </w:r>
    </w:p>
    <w:p w:rsidR="00000000" w:rsidDel="00000000" w:rsidP="00000000" w:rsidRDefault="00000000" w:rsidRPr="00000000" w14:paraId="0000007D">
      <w:pPr>
        <w:numPr>
          <w:ilvl w:val="1"/>
          <w:numId w:val="10"/>
        </w:numPr>
        <w:pBdr>
          <w:top w:space="0" w:sz="0" w:val="nil"/>
          <w:left w:space="0" w:sz="0" w:val="nil"/>
          <w:bottom w:space="0" w:sz="0" w:val="nil"/>
          <w:right w:space="0" w:sz="0" w:val="nil"/>
          <w:between w:space="0" w:sz="0" w:val="nil"/>
        </w:pBdr>
        <w:shd w:fill="auto" w:val="clear"/>
        <w:spacing w:line="275.9999942779541" w:lineRule="auto"/>
        <w:ind w:left="1200" w:hanging="360"/>
      </w:pPr>
      <w:r w:rsidDel="00000000" w:rsidR="00000000" w:rsidRPr="00000000">
        <w:rPr>
          <w:rFonts w:ascii="Google Sans Text" w:cs="Google Sans Text" w:eastAsia="Google Sans Text" w:hAnsi="Google Sans Text"/>
          <w:rtl w:val="0"/>
        </w:rPr>
        <w:t xml:space="preserve">Ziel: Verhinderung von Systemabstürzen bei Informationsüberlast.</w:t>
      </w:r>
    </w:p>
    <w:p w:rsidR="00000000" w:rsidDel="00000000" w:rsidP="00000000" w:rsidRDefault="00000000" w:rsidRPr="00000000" w14:paraId="0000007E">
      <w:pPr>
        <w:numPr>
          <w:ilvl w:val="1"/>
          <w:numId w:val="10"/>
        </w:numPr>
        <w:pBdr>
          <w:top w:space="0" w:sz="0" w:val="nil"/>
          <w:left w:space="0" w:sz="0" w:val="nil"/>
          <w:bottom w:space="0" w:sz="0" w:val="nil"/>
          <w:right w:space="0" w:sz="0" w:val="nil"/>
          <w:between w:space="0" w:sz="0" w:val="nil"/>
        </w:pBdr>
        <w:shd w:fill="auto" w:val="clear"/>
        <w:spacing w:line="275.9999942779541" w:lineRule="auto"/>
        <w:ind w:left="1200" w:hanging="360"/>
      </w:pPr>
      <w:r w:rsidDel="00000000" w:rsidR="00000000" w:rsidRPr="00000000">
        <w:rPr>
          <w:rFonts w:ascii="Google Sans Text" w:cs="Google Sans Text" w:eastAsia="Google Sans Text" w:hAnsi="Google Sans Text"/>
          <w:rtl w:val="0"/>
        </w:rPr>
        <w:t xml:space="preserve">Ergebnis: Einführung von frame_principle.py in den Code. Erkenntnis, dass Raum eine Funktion von Informationsdichte ist.</w:t>
      </w:r>
    </w:p>
    <w:p w:rsidR="00000000" w:rsidDel="00000000" w:rsidP="00000000" w:rsidRDefault="00000000" w:rsidRPr="00000000" w14:paraId="0000007F">
      <w:pPr>
        <w:numPr>
          <w:ilvl w:val="0"/>
          <w:numId w:val="8"/>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Phase III (DOIs 25-36, z.B. 18516805):</w:t>
      </w:r>
    </w:p>
    <w:p w:rsidR="00000000" w:rsidDel="00000000" w:rsidP="00000000" w:rsidRDefault="00000000" w:rsidRPr="00000000" w14:paraId="00000080">
      <w:pPr>
        <w:numPr>
          <w:ilvl w:val="1"/>
          <w:numId w:val="11"/>
        </w:numPr>
        <w:pBdr>
          <w:top w:space="0" w:sz="0" w:val="nil"/>
          <w:left w:space="0" w:sz="0" w:val="nil"/>
          <w:bottom w:space="0" w:sz="0" w:val="nil"/>
          <w:right w:space="0" w:sz="0" w:val="nil"/>
          <w:between w:space="0" w:sz="0" w:val="nil"/>
        </w:pBdr>
        <w:shd w:fill="auto" w:val="clear"/>
        <w:spacing w:line="275.9999942779541" w:lineRule="auto"/>
        <w:ind w:left="1200" w:hanging="360"/>
      </w:pPr>
      <w:r w:rsidDel="00000000" w:rsidR="00000000" w:rsidRPr="00000000">
        <w:rPr>
          <w:rFonts w:ascii="Google Sans Text" w:cs="Google Sans Text" w:eastAsia="Google Sans Text" w:hAnsi="Google Sans Text"/>
          <w:rtl w:val="0"/>
        </w:rPr>
        <w:t xml:space="preserve">Fokus: </w:t>
      </w:r>
      <w:r w:rsidDel="00000000" w:rsidR="00000000" w:rsidRPr="00000000">
        <w:rPr>
          <w:rFonts w:ascii="Google Sans Text" w:cs="Google Sans Text" w:eastAsia="Google Sans Text" w:hAnsi="Google Sans Text"/>
          <w:b w:val="1"/>
          <w:bCs w:val="1"/>
          <w:rtl w:val="0"/>
        </w:rPr>
        <w:t xml:space="preserve">AFET-Synthese und Validierung</w:t>
      </w:r>
      <w:r w:rsidDel="00000000" w:rsidR="00000000" w:rsidRPr="00000000">
        <w:rPr>
          <w:rFonts w:ascii="Google Sans Text" w:cs="Google Sans Text" w:eastAsia="Google Sans Text" w:hAnsi="Google Sans Text"/>
          <w:rtl w:val="0"/>
        </w:rPr>
        <w:t xml:space="preserve">.</w:t>
      </w:r>
    </w:p>
    <w:p w:rsidR="00000000" w:rsidDel="00000000" w:rsidP="00000000" w:rsidRDefault="00000000" w:rsidRPr="00000000" w14:paraId="00000081">
      <w:pPr>
        <w:numPr>
          <w:ilvl w:val="1"/>
          <w:numId w:val="11"/>
        </w:numPr>
        <w:pBdr>
          <w:top w:space="0" w:sz="0" w:val="nil"/>
          <w:left w:space="0" w:sz="0" w:val="nil"/>
          <w:bottom w:space="0" w:sz="0" w:val="nil"/>
          <w:right w:space="0" w:sz="0" w:val="nil"/>
          <w:between w:space="0" w:sz="0" w:val="nil"/>
        </w:pBdr>
        <w:shd w:fill="auto" w:val="clear"/>
        <w:spacing w:line="275.9999942779541" w:lineRule="auto"/>
        <w:ind w:left="1200" w:hanging="360"/>
      </w:pPr>
      <w:r w:rsidDel="00000000" w:rsidR="00000000" w:rsidRPr="00000000">
        <w:rPr>
          <w:rFonts w:ascii="Google Sans Text" w:cs="Google Sans Text" w:eastAsia="Google Sans Text" w:hAnsi="Google Sans Text"/>
          <w:rtl w:val="0"/>
        </w:rPr>
        <w:t xml:space="preserve">Ziel: Vereinheitlichung aller Module (Aeon, Lantern, UTAC).</w:t>
      </w:r>
    </w:p>
    <w:p w:rsidR="00000000" w:rsidDel="00000000" w:rsidP="00000000" w:rsidRDefault="00000000" w:rsidRPr="00000000" w14:paraId="00000082">
      <w:pPr>
        <w:numPr>
          <w:ilvl w:val="1"/>
          <w:numId w:val="11"/>
        </w:numPr>
        <w:pBdr>
          <w:top w:space="0" w:sz="0" w:val="nil"/>
          <w:left w:space="0" w:sz="0" w:val="nil"/>
          <w:bottom w:space="0" w:sz="0" w:val="nil"/>
          <w:right w:space="0" w:sz="0" w:val="nil"/>
          <w:between w:space="0" w:sz="0" w:val="nil"/>
        </w:pBdr>
        <w:shd w:fill="auto" w:val="clear"/>
        <w:spacing w:line="275.9999942779541" w:lineRule="auto"/>
        <w:ind w:left="1200" w:hanging="360"/>
      </w:pPr>
      <w:r w:rsidDel="00000000" w:rsidR="00000000" w:rsidRPr="00000000">
        <w:rPr>
          <w:rFonts w:ascii="Google Sans Text" w:cs="Google Sans Text" w:eastAsia="Google Sans Text" w:hAnsi="Google Sans Text"/>
          <w:rtl w:val="0"/>
        </w:rPr>
        <w:t xml:space="preserve">Ergebnis: Das theory/afet.py Modul. Integration von $v_{RIG}$ und $\sigma_\Phi$ als universelle Konstanten. Validierung durch Fontana et al. (13.5 MHz) und die 78 Datensätze.</w:t>
      </w:r>
    </w:p>
    <w:p w:rsidR="00000000" w:rsidDel="00000000" w:rsidP="00000000" w:rsidRDefault="00000000" w:rsidRPr="00000000" w14:paraId="00000083">
      <w:pPr>
        <w:pStyle w:val="Heading2"/>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pict>
          <v:rect style="width:0.0pt;height:1.5pt" o:hr="t" o:hrstd="t" o:hralign="center" fillcolor="#A0A0A0" stroked="f"/>
        </w:pict>
      </w:r>
      <w:r w:rsidDel="00000000" w:rsidR="00000000" w:rsidRPr="00000000">
        <w:rPr>
          <w:rFonts w:ascii="Google Sans" w:cs="Google Sans" w:eastAsia="Google Sans" w:hAnsi="Google Sans"/>
          <w:rtl w:val="0"/>
        </w:rPr>
        <w:t xml:space="preserve">8. Konklusion: Das Skelett der angewandten Ontologie</w:t>
      </w:r>
    </w:p>
    <w:p w:rsidR="00000000" w:rsidDel="00000000" w:rsidP="00000000" w:rsidRDefault="00000000" w:rsidRPr="00000000" w14:paraId="0000008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Tiefenrecherche der vorliegenden Materialien offenbart, dass die Arbeit von UTAC bis AFET weit mehr darstellt als eine bloße Software-Bibliothek. Es handelt sich um den Entwurf einer </w:t>
      </w:r>
      <w:r w:rsidDel="00000000" w:rsidR="00000000" w:rsidRPr="00000000">
        <w:rPr>
          <w:rFonts w:ascii="Google Sans Text" w:cs="Google Sans Text" w:eastAsia="Google Sans Text" w:hAnsi="Google Sans Text"/>
          <w:b w:val="1"/>
          <w:bCs w:val="1"/>
          <w:rtl w:val="0"/>
        </w:rPr>
        <w:t xml:space="preserve">angewandten Ontologie auf Basis der Thermodynamik</w:t>
      </w:r>
      <w:r w:rsidDel="00000000" w:rsidR="00000000" w:rsidRPr="00000000">
        <w:rPr>
          <w:rFonts w:ascii="Google Sans Text" w:cs="Google Sans Text" w:eastAsia="Google Sans Text" w:hAnsi="Google Sans Text"/>
          <w:rtl w:val="0"/>
        </w:rPr>
        <w:t xml:space="preserve">.</w:t>
      </w:r>
    </w:p>
    <w:p w:rsidR="00000000" w:rsidDel="00000000" w:rsidP="00000000" w:rsidRDefault="00000000" w:rsidRPr="00000000" w14:paraId="0000008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zentralen Erkenntnisse lassen sich wie folgt zusammenfassen:</w:t>
      </w:r>
    </w:p>
    <w:p w:rsidR="00000000" w:rsidDel="00000000" w:rsidP="00000000" w:rsidRDefault="00000000" w:rsidRPr="00000000" w14:paraId="00000086">
      <w:pPr>
        <w:numPr>
          <w:ilvl w:val="0"/>
          <w:numId w:val="12"/>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Realität ist fraktal skalierbar:</w:t>
      </w:r>
      <w:r w:rsidDel="00000000" w:rsidR="00000000" w:rsidRPr="00000000">
        <w:rPr>
          <w:rFonts w:ascii="Google Sans Text" w:cs="Google Sans Text" w:eastAsia="Google Sans Text" w:hAnsi="Google Sans Text"/>
          <w:rtl w:val="0"/>
        </w:rPr>
        <w:t xml:space="preserve"> Derselbe Parameter $\beta$, skaliert durch $\Phi$, regelt die Stabilität von Atomen, Zellen und Gedanken.</w:t>
      </w:r>
    </w:p>
    <w:p w:rsidR="00000000" w:rsidDel="00000000" w:rsidP="00000000" w:rsidRDefault="00000000" w:rsidRPr="00000000" w14:paraId="00000087">
      <w:pPr>
        <w:numPr>
          <w:ilvl w:val="0"/>
          <w:numId w:val="12"/>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Existenz erfordert Unschärfe:</w:t>
      </w:r>
      <w:r w:rsidDel="00000000" w:rsidR="00000000" w:rsidRPr="00000000">
        <w:rPr>
          <w:rFonts w:ascii="Google Sans Text" w:cs="Google Sans Text" w:eastAsia="Google Sans Text" w:hAnsi="Google Sans Text"/>
          <w:rtl w:val="0"/>
        </w:rPr>
        <w:t xml:space="preserve"> Der Metastabilitäts-Puffer $\sigma_\Phi \approx 0.0625$ ist die mathematische Garantie für Lebendigkeit. Perfektion ist gleichbedeutend mit Tod (Kristallisation).</w:t>
      </w:r>
    </w:p>
    <w:p w:rsidR="00000000" w:rsidDel="00000000" w:rsidP="00000000" w:rsidRDefault="00000000" w:rsidRPr="00000000" w14:paraId="00000088">
      <w:pPr>
        <w:numPr>
          <w:ilvl w:val="0"/>
          <w:numId w:val="12"/>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Resonanz ist der Schlüssel zur Form:</w:t>
      </w:r>
      <w:r w:rsidDel="00000000" w:rsidR="00000000" w:rsidRPr="00000000">
        <w:rPr>
          <w:rFonts w:ascii="Google Sans Text" w:cs="Google Sans Text" w:eastAsia="Google Sans Text" w:hAnsi="Google Sans Text"/>
          <w:rtl w:val="0"/>
        </w:rPr>
        <w:t xml:space="preserve"> Die 13,5 MHz Frequenz ist der "Code", mit dem elektromagnetische Felder direkt mit der biologischen Struktur (Mikrotubuli) kommunizieren können, um Wachstum und Heilung zu induzieren.</w:t>
      </w:r>
    </w:p>
    <w:p w:rsidR="00000000" w:rsidDel="00000000" w:rsidP="00000000" w:rsidRDefault="00000000" w:rsidRPr="00000000" w14:paraId="00000089">
      <w:pPr>
        <w:numPr>
          <w:ilvl w:val="0"/>
          <w:numId w:val="12"/>
        </w:numPr>
        <w:pBdr>
          <w:top w:space="0" w:sz="0" w:val="nil"/>
          <w:left w:space="0" w:sz="0" w:val="nil"/>
          <w:bottom w:space="0" w:sz="0" w:val="nil"/>
          <w:right w:space="0" w:sz="0" w:val="nil"/>
          <w:between w:space="0" w:sz="0" w:val="nil"/>
        </w:pBdr>
        <w:shd w:fill="auto" w:val="clear"/>
        <w:spacing w:line="275.9999942779541" w:lineRule="auto"/>
        <w:ind w:left="600" w:hanging="360"/>
      </w:pPr>
      <w:r w:rsidDel="00000000" w:rsidR="00000000" w:rsidRPr="00000000">
        <w:rPr>
          <w:rFonts w:ascii="Google Sans Text" w:cs="Google Sans Text" w:eastAsia="Google Sans Text" w:hAnsi="Google Sans Text"/>
          <w:b w:val="1"/>
          <w:bCs w:val="1"/>
          <w:rtl w:val="0"/>
        </w:rPr>
        <w:t xml:space="preserve">Bewusstsein ist strukturell notwendig:</w:t>
      </w:r>
      <w:r w:rsidDel="00000000" w:rsidR="00000000" w:rsidRPr="00000000">
        <w:rPr>
          <w:rFonts w:ascii="Google Sans Text" w:cs="Google Sans Text" w:eastAsia="Google Sans Text" w:hAnsi="Google Sans Text"/>
          <w:rtl w:val="0"/>
        </w:rPr>
        <w:t xml:space="preserve"> Es ist der Integrator, der mit der Geschwindigkeit $v_{RIG}$ operiert, um den Informationskollaps des Universums zu verhindern.</w:t>
      </w:r>
    </w:p>
    <w:p w:rsidR="00000000" w:rsidDel="00000000" w:rsidP="00000000" w:rsidRDefault="00000000" w:rsidRPr="00000000" w14:paraId="0000008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Die Transformation von UTAC zu AFET liefert somit nicht nur ein theoretisches Modell, sondern eine Blaupause für zukünftige Technologien – von regenerativer Medizin, die Resonanzfrequenzen nutzt, bis hin zu künstlicher Intelligenz, die durch entropische Puffer stabilisiert wird. Es ist der Schritt von der Beobachtung der Phänomene zur Entschlüsselung ihres Quellcodes.</w:t>
      </w:r>
    </w:p>
    <w:p w:rsidR="00000000" w:rsidDel="00000000" w:rsidP="00000000" w:rsidRDefault="00000000" w:rsidRPr="00000000" w14:paraId="0000008B">
      <w:pPr>
        <w:pStyle w:val="Heading3"/>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pict>
          <v:rect style="width:0.0pt;height:1.5pt" o:hr="t" o:hrstd="t" o:hralign="center" fillcolor="#A0A0A0" stroked="f"/>
        </w:pict>
      </w:r>
      <w:r w:rsidDel="00000000" w:rsidR="00000000" w:rsidRPr="00000000">
        <w:rPr>
          <w:rFonts w:ascii="Google Sans" w:cs="Google Sans" w:eastAsia="Google Sans" w:hAnsi="Google Sans"/>
          <w:rtl w:val="0"/>
        </w:rPr>
        <w:t xml:space="preserve">Detaillierte Datentabellen</w:t>
      </w:r>
    </w:p>
    <w:p w:rsidR="00000000" w:rsidDel="00000000" w:rsidP="00000000" w:rsidRDefault="00000000" w:rsidRPr="00000000" w14:paraId="0000008C">
      <w:pPr>
        <w:pStyle w:val="Heading4"/>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Tabelle 1: Die </w:t>
      </w:r>
      <w:r w:rsidDel="00000000" w:rsidR="00000000" w:rsidRPr="00000000">
        <w:rPr>
          <w:rFonts w:ascii="Google Sans Text" w:cs="Google Sans Text" w:eastAsia="Google Sans Text" w:hAnsi="Google Sans Text"/>
          <w:b w:val="1"/>
          <w:bCs w:val="1"/>
          <w:i w:val="0"/>
          <w:iCs w:val="0"/>
          <w:sz w:val="24"/>
          <w:szCs w:val="24"/>
          <w:rtl w:val="0"/>
        </w:rPr>
        <w:t xml:space="preserve">$\beta$</w:t>
      </w:r>
      <w:r w:rsidDel="00000000" w:rsidR="00000000" w:rsidRPr="00000000">
        <w:rPr>
          <w:rFonts w:ascii="Google Sans" w:cs="Google Sans" w:eastAsia="Google Sans" w:hAnsi="Google Sans"/>
          <w:rtl w:val="0"/>
        </w:rPr>
        <w:t xml:space="preserve">-Hierarchie der Stabilität</w:t>
      </w:r>
    </w:p>
    <w:p w:rsidR="00000000" w:rsidDel="00000000" w:rsidP="00000000" w:rsidRDefault="00000000" w:rsidRPr="00000000" w14:paraId="0000008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rPr>
      </w:pPr>
      <w:r w:rsidDel="00000000" w:rsidR="00000000" w:rsidRPr="00000000">
        <w:rPr>
          <w:rtl w:val="0"/>
        </w:rPr>
      </w:r>
    </w:p>
    <w:tbl>
      <w:tblPr>
        <w:tblStyle w:val="Table2"/>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8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Domäne</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8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β-Wert</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9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Beschreibung</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9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Empirische Validierung</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9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Information / Kognition</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9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$\approx 4.2 - 4.5$</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9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Hohe Plastizität; ermöglicht Lernen und KI-Adaption.</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9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sz w:val="24"/>
                <w:szCs w:val="24"/>
                <w:vertAlign w:val="superscript"/>
              </w:rPr>
            </w:pPr>
            <w:r w:rsidDel="00000000" w:rsidR="00000000" w:rsidRPr="00000000">
              <w:rPr>
                <w:rFonts w:ascii="Google Sans Text" w:cs="Google Sans Text" w:eastAsia="Google Sans Text" w:hAnsi="Google Sans Text"/>
                <w:rtl w:val="0"/>
              </w:rPr>
              <w:t xml:space="preserve">KI-Emergenz-Modelle </w:t>
            </w:r>
            <w:r w:rsidDel="00000000" w:rsidR="00000000" w:rsidRPr="00000000">
              <w:rPr>
                <w:rFonts w:ascii="Google Sans Text" w:cs="Google Sans Text" w:eastAsia="Google Sans Text" w:hAnsi="Google Sans Text"/>
                <w:sz w:val="24"/>
                <w:szCs w:val="24"/>
                <w:vertAlign w:val="superscript"/>
                <w:rtl w:val="0"/>
              </w:rPr>
              <w:t xml:space="preserve">1</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9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Biologische Systeme</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9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$\approx 7.4$</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9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Metabolische Balance; Homöostase.</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9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sz w:val="24"/>
                <w:szCs w:val="24"/>
                <w:vertAlign w:val="superscript"/>
              </w:rPr>
            </w:pPr>
            <w:r w:rsidDel="00000000" w:rsidR="00000000" w:rsidRPr="00000000">
              <w:rPr>
                <w:rFonts w:ascii="Google Sans Text" w:cs="Google Sans Text" w:eastAsia="Google Sans Text" w:hAnsi="Google Sans Text"/>
                <w:rtl w:val="0"/>
              </w:rPr>
              <w:t xml:space="preserve">Metabolische Skalierungsgesetze </w:t>
            </w:r>
            <w:r w:rsidDel="00000000" w:rsidR="00000000" w:rsidRPr="00000000">
              <w:rPr>
                <w:rFonts w:ascii="Google Sans Text" w:cs="Google Sans Text" w:eastAsia="Google Sans Text" w:hAnsi="Google Sans Text"/>
                <w:sz w:val="24"/>
                <w:szCs w:val="24"/>
                <w:vertAlign w:val="superscript"/>
                <w:rtl w:val="0"/>
              </w:rPr>
              <w:t xml:space="preserve">1</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9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Klima / Tipping Points</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9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$\approx 11.0$</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9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Hysteretische Übergänge; schwer umkehrbare Änderungen.</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9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sz w:val="24"/>
                <w:szCs w:val="24"/>
                <w:vertAlign w:val="superscript"/>
              </w:rPr>
            </w:pPr>
            <w:r w:rsidDel="00000000" w:rsidR="00000000" w:rsidRPr="00000000">
              <w:rPr>
                <w:rFonts w:ascii="Google Sans Text" w:cs="Google Sans Text" w:eastAsia="Google Sans Text" w:hAnsi="Google Sans Text"/>
                <w:rtl w:val="0"/>
              </w:rPr>
              <w:t xml:space="preserve">Klimarisiko-Modelle </w:t>
            </w:r>
            <w:r w:rsidDel="00000000" w:rsidR="00000000" w:rsidRPr="00000000">
              <w:rPr>
                <w:rFonts w:ascii="Google Sans Text" w:cs="Google Sans Text" w:eastAsia="Google Sans Text" w:hAnsi="Google Sans Text"/>
                <w:sz w:val="24"/>
                <w:szCs w:val="24"/>
                <w:vertAlign w:val="superscript"/>
                <w:rtl w:val="0"/>
              </w:rPr>
              <w:t xml:space="preserve">1</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9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Neurologische Netzwerke</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9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$\approx 13.5$</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A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Elektromagnetische Resonanz; SigillinNetz.</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A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sz w:val="24"/>
                <w:szCs w:val="24"/>
                <w:vertAlign w:val="superscript"/>
              </w:rPr>
            </w:pPr>
            <w:r w:rsidDel="00000000" w:rsidR="00000000" w:rsidRPr="00000000">
              <w:rPr>
                <w:rFonts w:ascii="Google Sans Text" w:cs="Google Sans Text" w:eastAsia="Google Sans Text" w:hAnsi="Google Sans Text"/>
                <w:rtl w:val="0"/>
              </w:rPr>
              <w:t xml:space="preserve">Fontana et al. (2024) (13.5 MHz) </w:t>
            </w:r>
            <w:r w:rsidDel="00000000" w:rsidR="00000000" w:rsidRPr="00000000">
              <w:rPr>
                <w:rFonts w:ascii="Google Sans Text" w:cs="Google Sans Text" w:eastAsia="Google Sans Text" w:hAnsi="Google Sans Text"/>
                <w:sz w:val="24"/>
                <w:szCs w:val="24"/>
                <w:vertAlign w:val="superscript"/>
                <w:rtl w:val="0"/>
              </w:rPr>
              <w:t xml:space="preserve">5</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A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Fundamentale Axiome</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A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$\approx 37.6$</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A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"Nullkern"; extreme Stabilität physikalischer Gesetze.</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A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sz w:val="24"/>
                <w:szCs w:val="24"/>
                <w:vertAlign w:val="superscript"/>
              </w:rPr>
            </w:pPr>
            <w:r w:rsidDel="00000000" w:rsidR="00000000" w:rsidRPr="00000000">
              <w:rPr>
                <w:rFonts w:ascii="Google Sans Text" w:cs="Google Sans Text" w:eastAsia="Google Sans Text" w:hAnsi="Google Sans Text"/>
                <w:rtl w:val="0"/>
              </w:rPr>
              <w:t xml:space="preserve">Doppelter Beta-Zerfall / Quark-Modelle </w:t>
            </w:r>
            <w:r w:rsidDel="00000000" w:rsidR="00000000" w:rsidRPr="00000000">
              <w:rPr>
                <w:rFonts w:ascii="Google Sans Text" w:cs="Google Sans Text" w:eastAsia="Google Sans Text" w:hAnsi="Google Sans Text"/>
                <w:sz w:val="24"/>
                <w:szCs w:val="24"/>
                <w:vertAlign w:val="superscript"/>
                <w:rtl w:val="0"/>
              </w:rPr>
              <w:t xml:space="preserve">6</w:t>
            </w:r>
          </w:p>
        </w:tc>
      </w:tr>
    </w:tbl>
    <w:p w:rsidR="00000000" w:rsidDel="00000000" w:rsidP="00000000" w:rsidRDefault="00000000" w:rsidRPr="00000000" w14:paraId="000000A6">
      <w:pPr>
        <w:pStyle w:val="Heading4"/>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Tabelle 2: AFET-Konstanten und Definitionen</w:t>
      </w:r>
    </w:p>
    <w:p w:rsidR="00000000" w:rsidDel="00000000" w:rsidP="00000000" w:rsidRDefault="00000000" w:rsidRPr="00000000" w14:paraId="000000A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rPr>
      </w:pPr>
      <w:r w:rsidDel="00000000" w:rsidR="00000000" w:rsidRPr="00000000">
        <w:rPr>
          <w:rtl w:val="0"/>
        </w:rPr>
      </w:r>
    </w:p>
    <w:tbl>
      <w:tblPr>
        <w:tblStyle w:val="Table3"/>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A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Konstante / Parameter</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A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Symbol</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A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Wert</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A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Funktion</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A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Metastabilitäts-Puffer</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A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$\sigma_\Phi$</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A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$0.0625 (1/16)$</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A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sz w:val="24"/>
                <w:szCs w:val="24"/>
                <w:vertAlign w:val="superscript"/>
              </w:rPr>
            </w:pPr>
            <w:r w:rsidDel="00000000" w:rsidR="00000000" w:rsidRPr="00000000">
              <w:rPr>
                <w:rFonts w:ascii="Google Sans Text" w:cs="Google Sans Text" w:eastAsia="Google Sans Text" w:hAnsi="Google Sans Text"/>
                <w:rtl w:val="0"/>
              </w:rPr>
              <w:t xml:space="preserve">Verhindert Kristallisation und Dissipation. Der "Lebensbereich". </w:t>
            </w:r>
            <w:r w:rsidDel="00000000" w:rsidR="00000000" w:rsidRPr="00000000">
              <w:rPr>
                <w:rFonts w:ascii="Google Sans Text" w:cs="Google Sans Text" w:eastAsia="Google Sans Text" w:hAnsi="Google Sans Text"/>
                <w:sz w:val="24"/>
                <w:szCs w:val="24"/>
                <w:vertAlign w:val="superscript"/>
                <w:rtl w:val="0"/>
              </w:rPr>
              <w:t xml:space="preserve">1</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B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Skalierungsfaktor</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B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$\Phi$</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B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$\approx 1.174$</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B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Basis für die fraktale Skalierung der $\beta$-Hierarchien.</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B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Integrationsgeschwindigkeit</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B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$v_{RIG}$</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B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$\approx 1.352$ km/s</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B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Rate der Entropie-Integration; kosmische Rendering-Rate.</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B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Kritische Dichte</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B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$S_{crit}$</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B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$\approx 16$</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B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Schwelle für die Aktivierung des Frame-Prinzips ($1/\sigma_\Phi$).</w:t>
            </w:r>
          </w:p>
        </w:tc>
      </w:tr>
    </w:tbl>
    <w:p w:rsidR="00000000" w:rsidDel="00000000" w:rsidP="00000000" w:rsidRDefault="00000000" w:rsidRPr="00000000" w14:paraId="000000BC">
      <w:pPr>
        <w:pStyle w:val="Heading4"/>
        <w:pBdr>
          <w:top w:space="0" w:sz="0" w:val="nil"/>
          <w:left w:space="0" w:sz="0" w:val="nil"/>
          <w:bottom w:space="0" w:sz="0" w:val="nil"/>
          <w:right w:space="0" w:sz="0" w:val="nil"/>
          <w:between w:space="0" w:sz="0" w:val="nil"/>
        </w:pBdr>
        <w:shd w:fill="auto" w:val="clear"/>
        <w:spacing w:before="0" w:line="275.9999942779541"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Tabelle 3: Wirkungen von 13,5 MHz PEMF (Fontana et al. 2024)</w:t>
      </w:r>
    </w:p>
    <w:tbl>
      <w:tblPr>
        <w:tblStyle w:val="Table4"/>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B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Parameter</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B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Optimaler Wert</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B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Beobachteter Effekt</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C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Signifikanz für AFET</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C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Trägerfrequenz</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C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13,5 MHz</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C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Maximales Neuritenwachstum; unveränderte Viabilität.</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C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Validiert den $\beta \approx 13.5$ Resonanzknoten.</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C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Pulsfrequenz (PRF)</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C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20 Hz</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C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Konsistent mit Resonanz bei Säugetier-Neuronen (4-10 Hz).</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C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Zeigt Interaktion zwischen Makro- (PRF) und Mikro-Skalen (Träger).</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C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Genexpression</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C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Hochreguliert</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C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NeuN, Tuj-1 ($\beta$-III Tubulin), Ngn1.</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C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"Frame-Expansion" auf molekularer Ebene.</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C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bCs w:val="1"/>
              </w:rPr>
            </w:pPr>
            <w:r w:rsidDel="00000000" w:rsidR="00000000" w:rsidRPr="00000000">
              <w:rPr>
                <w:rFonts w:ascii="Google Sans Text" w:cs="Google Sans Text" w:eastAsia="Google Sans Text" w:hAnsi="Google Sans Text"/>
                <w:b w:val="1"/>
                <w:bCs w:val="1"/>
                <w:rtl w:val="0"/>
              </w:rPr>
              <w:t xml:space="preserve">Immunmodulation</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C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Anti-inflammatorisch</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C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Reduziertes IL-1$\beta$, TNF-$\alpha$; Erhöhtes IL-10.</w:t>
            </w:r>
          </w:p>
        </w:tc>
        <w:tc>
          <w:tcPr>
            <w:tcBorders>
              <w:top w:color="000000" w:space="0" w:sz="6" w:val="single"/>
              <w:left w:color="000000" w:space="0" w:sz="6" w:val="single"/>
              <w:bottom w:color="000000" w:space="0" w:sz="6" w:val="single"/>
              <w:right w:color="000000" w:space="0" w:sz="6" w:val="single"/>
            </w:tcBorders>
            <w:shd w:fill="auto" w:val="clear"/>
            <w:tcMar>
              <w:top w:w="0.0" w:type="dxa"/>
              <w:left w:w="0.0" w:type="dxa"/>
              <w:bottom w:w="0.0" w:type="dxa"/>
              <w:right w:w="0.0" w:type="dxa"/>
            </w:tcMar>
            <w:vAlign w:val="top"/>
          </w:tcPr>
          <w:p w:rsidR="00000000" w:rsidDel="00000000" w:rsidP="00000000" w:rsidRDefault="00000000" w:rsidRPr="00000000" w14:paraId="000000D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Mechanismus der Entropie-Dämpfung ($\zeta$-Dämpfung).</w:t>
            </w:r>
          </w:p>
        </w:tc>
      </w:tr>
    </w:tbl>
    <w:p w:rsidR="00000000" w:rsidDel="00000000" w:rsidP="00000000" w:rsidRDefault="00000000" w:rsidRPr="00000000" w14:paraId="000000D1">
      <w:pPr>
        <w:pStyle w:val="Heading4"/>
        <w:pBdr>
          <w:top w:space="0" w:sz="0" w:val="nil"/>
          <w:left w:space="0" w:sz="0" w:val="nil"/>
          <w:bottom w:space="0" w:sz="0" w:val="nil"/>
          <w:right w:space="0" w:sz="0" w:val="nil"/>
          <w:between w:space="0" w:sz="0" w:val="nil"/>
        </w:pBdr>
        <w:shd w:fill="auto" w:val="clear"/>
        <w:spacing w:before="480"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Referenzen</w:t>
      </w:r>
    </w:p>
    <w:p w:rsidR="00000000" w:rsidDel="00000000" w:rsidP="00000000" w:rsidRDefault="00000000" w:rsidRPr="00000000" w14:paraId="000000D2">
      <w:pPr>
        <w:numPr>
          <w:ilvl w:val="0"/>
          <w:numId w:val="13"/>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Feld-Entrophie_Theorie.txt</w:t>
      </w:r>
    </w:p>
    <w:p w:rsidR="00000000" w:rsidDel="00000000" w:rsidP="00000000" w:rsidRDefault="00000000" w:rsidRPr="00000000" w14:paraId="000000D3">
      <w:pPr>
        <w:numPr>
          <w:ilvl w:val="0"/>
          <w:numId w:val="13"/>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PEER REVIEW PAPER This paper has been peer‐reviewed and published in a special edition of Traffic Injury Prevention 24(S1), by - Mira Smart Conferencing, Zugriff am Februar 11, 2026, </w:t>
      </w:r>
      <w:hyperlink r:id="rId6">
        <w:r w:rsidDel="00000000" w:rsidR="00000000" w:rsidRPr="00000000">
          <w:rPr>
            <w:rFonts w:ascii="Google Sans" w:cs="Google Sans" w:eastAsia="Google Sans" w:hAnsi="Google Sans"/>
            <w:color w:val="0000ee"/>
            <w:sz w:val="24"/>
            <w:szCs w:val="24"/>
            <w:u w:val="single"/>
            <w:rtl w:val="0"/>
          </w:rPr>
          <w:t xml:space="preserve">https://index.mirasmart.com/27esv/PDFfiles/Session%205%20Oral.pdf</w:t>
        </w:r>
      </w:hyperlink>
      <w:r w:rsidDel="00000000" w:rsidR="00000000" w:rsidRPr="00000000">
        <w:rPr>
          <w:rtl w:val="0"/>
        </w:rPr>
      </w:r>
    </w:p>
    <w:p w:rsidR="00000000" w:rsidDel="00000000" w:rsidP="00000000" w:rsidRDefault="00000000" w:rsidRPr="00000000" w14:paraId="000000D4">
      <w:pPr>
        <w:numPr>
          <w:ilvl w:val="0"/>
          <w:numId w:val="13"/>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Vibrational Thermodynamics of Materials, Zugriff am Februar 11, 2026, </w:t>
      </w:r>
      <w:hyperlink r:id="rId7">
        <w:r w:rsidDel="00000000" w:rsidR="00000000" w:rsidRPr="00000000">
          <w:rPr>
            <w:rFonts w:ascii="Google Sans" w:cs="Google Sans" w:eastAsia="Google Sans" w:hAnsi="Google Sans"/>
            <w:color w:val="0000ee"/>
            <w:sz w:val="24"/>
            <w:szCs w:val="24"/>
            <w:u w:val="single"/>
            <w:rtl w:val="0"/>
          </w:rPr>
          <w:t xml:space="preserve">https://www.its.caltech.edu/~matsci/btfgrp/Review_Main.pdf</w:t>
        </w:r>
      </w:hyperlink>
      <w:r w:rsidDel="00000000" w:rsidR="00000000" w:rsidRPr="00000000">
        <w:rPr>
          <w:rtl w:val="0"/>
        </w:rPr>
      </w:r>
    </w:p>
    <w:p w:rsidR="00000000" w:rsidDel="00000000" w:rsidP="00000000" w:rsidRDefault="00000000" w:rsidRPr="00000000" w14:paraId="000000D5">
      <w:pPr>
        <w:numPr>
          <w:ilvl w:val="0"/>
          <w:numId w:val="13"/>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Structural Basis for Metastability in Amorphous Calcium Barium Carbonate (ACBC) - Ceder Group, Zugriff am Februar 11, 2026, </w:t>
      </w:r>
      <w:hyperlink r:id="rId8">
        <w:r w:rsidDel="00000000" w:rsidR="00000000" w:rsidRPr="00000000">
          <w:rPr>
            <w:rFonts w:ascii="Google Sans" w:cs="Google Sans" w:eastAsia="Google Sans" w:hAnsi="Google Sans"/>
            <w:color w:val="0000ee"/>
            <w:sz w:val="24"/>
            <w:szCs w:val="24"/>
            <w:u w:val="single"/>
            <w:rtl w:val="0"/>
          </w:rPr>
          <w:t xml:space="preserve">https://ceder.berkeley.edu/publications/2018_whittaker_acbc.pdf</w:t>
        </w:r>
      </w:hyperlink>
      <w:r w:rsidDel="00000000" w:rsidR="00000000" w:rsidRPr="00000000">
        <w:rPr>
          <w:rtl w:val="0"/>
        </w:rPr>
      </w:r>
    </w:p>
    <w:p w:rsidR="00000000" w:rsidDel="00000000" w:rsidP="00000000" w:rsidRDefault="00000000" w:rsidRPr="00000000" w14:paraId="000000D6">
      <w:pPr>
        <w:numPr>
          <w:ilvl w:val="0"/>
          <w:numId w:val="13"/>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Pulsed electromagnetic field stimulation enhances neurite outgrowth in neural cells and modulates inflammation in macrophages - ResearchGate, Zugriff am Februar 11, 2026, </w:t>
      </w:r>
      <w:hyperlink r:id="rId9">
        <w:r w:rsidDel="00000000" w:rsidR="00000000" w:rsidRPr="00000000">
          <w:rPr>
            <w:rFonts w:ascii="Google Sans" w:cs="Google Sans" w:eastAsia="Google Sans" w:hAnsi="Google Sans"/>
            <w:color w:val="0000ee"/>
            <w:sz w:val="24"/>
            <w:szCs w:val="24"/>
            <w:u w:val="single"/>
            <w:rtl w:val="0"/>
          </w:rPr>
          <w:t xml:space="preserve">https://www.researchgate.net/publication/376678835_Pulsed_electromagnetic_field_stimulation_enhances_neurite_outgrowth_in_neural_cells_and_modulates_inflammation_in_macrophages</w:t>
        </w:r>
      </w:hyperlink>
      <w:r w:rsidDel="00000000" w:rsidR="00000000" w:rsidRPr="00000000">
        <w:rPr>
          <w:rtl w:val="0"/>
        </w:rPr>
      </w:r>
    </w:p>
    <w:p w:rsidR="00000000" w:rsidDel="00000000" w:rsidP="00000000" w:rsidRDefault="00000000" w:rsidRPr="00000000" w14:paraId="000000D7">
      <w:pPr>
        <w:numPr>
          <w:ilvl w:val="0"/>
          <w:numId w:val="13"/>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[2512.04849] Searching for new physics with $^{136}$Xe double beta decay spectrum in PandaX-4T - arXiv, Zugriff am Februar 11, 2026, </w:t>
      </w:r>
      <w:hyperlink r:id="rId10">
        <w:r w:rsidDel="00000000" w:rsidR="00000000" w:rsidRPr="00000000">
          <w:rPr>
            <w:rFonts w:ascii="Google Sans" w:cs="Google Sans" w:eastAsia="Google Sans" w:hAnsi="Google Sans"/>
            <w:color w:val="0000ee"/>
            <w:sz w:val="24"/>
            <w:szCs w:val="24"/>
            <w:u w:val="single"/>
            <w:rtl w:val="0"/>
          </w:rPr>
          <w:t xml:space="preserve">https://arxiv.org/abs/2512.04849</w:t>
        </w:r>
      </w:hyperlink>
      <w:r w:rsidDel="00000000" w:rsidR="00000000" w:rsidRPr="00000000">
        <w:rPr>
          <w:rtl w:val="0"/>
        </w:rPr>
      </w:r>
    </w:p>
    <w:p w:rsidR="00000000" w:rsidDel="00000000" w:rsidP="00000000" w:rsidRDefault="00000000" w:rsidRPr="00000000" w14:paraId="000000D8">
      <w:pPr>
        <w:numPr>
          <w:ilvl w:val="0"/>
          <w:numId w:val="13"/>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Mass of the Universe from Quarks: A Plausible Solution to the Cosmological Constant Problem - Scirp.org., Zugriff am Februar 11, 2026, </w:t>
      </w:r>
      <w:hyperlink r:id="rId11">
        <w:r w:rsidDel="00000000" w:rsidR="00000000" w:rsidRPr="00000000">
          <w:rPr>
            <w:rFonts w:ascii="Google Sans" w:cs="Google Sans" w:eastAsia="Google Sans" w:hAnsi="Google Sans"/>
            <w:color w:val="0000ee"/>
            <w:sz w:val="24"/>
            <w:szCs w:val="24"/>
            <w:u w:val="single"/>
            <w:rtl w:val="0"/>
          </w:rPr>
          <w:t xml:space="preserve">https://www.scirp.org/journal/paperinformation?paperid=129449</w:t>
        </w:r>
      </w:hyperlink>
      <w:r w:rsidDel="00000000" w:rsidR="00000000" w:rsidRPr="00000000">
        <w:rPr>
          <w:rtl w:val="0"/>
        </w:rPr>
      </w:r>
    </w:p>
    <w:p w:rsidR="00000000" w:rsidDel="00000000" w:rsidP="00000000" w:rsidRDefault="00000000" w:rsidRPr="00000000" w14:paraId="000000D9">
      <w:pPr>
        <w:numPr>
          <w:ilvl w:val="0"/>
          <w:numId w:val="13"/>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Weekly Papers on Quantum Foundations (18), Zugriff am Februar 11, 2026, </w:t>
      </w:r>
      <w:hyperlink r:id="rId12">
        <w:r w:rsidDel="00000000" w:rsidR="00000000" w:rsidRPr="00000000">
          <w:rPr>
            <w:rFonts w:ascii="Google Sans" w:cs="Google Sans" w:eastAsia="Google Sans" w:hAnsi="Google Sans"/>
            <w:color w:val="0000ee"/>
            <w:sz w:val="24"/>
            <w:szCs w:val="24"/>
            <w:u w:val="single"/>
            <w:rtl w:val="0"/>
          </w:rPr>
          <w:t xml:space="preserve">https://ijqf.org/archives/6846</w:t>
        </w:r>
      </w:hyperlink>
      <w:r w:rsidDel="00000000" w:rsidR="00000000" w:rsidRPr="00000000">
        <w:rPr>
          <w:rtl w:val="0"/>
        </w:rPr>
      </w:r>
    </w:p>
    <w:p w:rsidR="00000000" w:rsidDel="00000000" w:rsidP="00000000" w:rsidRDefault="00000000" w:rsidRPr="00000000" w14:paraId="000000DA">
      <w:pPr>
        <w:numPr>
          <w:ilvl w:val="0"/>
          <w:numId w:val="13"/>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Modulation of F11 neuron morphology in correspondence to different PEMF... | Download Scientific Diagram - ResearchGate, Zugriff am Februar 11, 2026, </w:t>
      </w:r>
      <w:hyperlink r:id="rId13">
        <w:r w:rsidDel="00000000" w:rsidR="00000000" w:rsidRPr="00000000">
          <w:rPr>
            <w:rFonts w:ascii="Google Sans" w:cs="Google Sans" w:eastAsia="Google Sans" w:hAnsi="Google Sans"/>
            <w:color w:val="0000ee"/>
            <w:sz w:val="24"/>
            <w:szCs w:val="24"/>
            <w:u w:val="single"/>
            <w:rtl w:val="0"/>
          </w:rPr>
          <w:t xml:space="preserve">https://www.researchgate.net/figure/Modulation-of-F11-neuron-morphology-in-correspondence-to-different-PEMF-pulse-repetition_fig3_376678835</w:t>
        </w:r>
      </w:hyperlink>
      <w:r w:rsidDel="00000000" w:rsidR="00000000" w:rsidRPr="00000000">
        <w:rPr>
          <w:rtl w:val="0"/>
        </w:rPr>
      </w:r>
    </w:p>
    <w:sectPr>
      <w:pgSz w:h="15840" w:w="12240"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Google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oogle Sans Tex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2">
    <w:lvl w:ilvl="0">
      <w:start w:val="1"/>
      <w:numFmt w:val="bullet"/>
      <w:lvlText w:val="●"/>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3">
    <w:lvl w:ilvl="0">
      <w:start w:val="1"/>
      <w:numFmt w:val="decimal"/>
      <w:lvlText w:val="%1."/>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4">
    <w:lvl w:ilvl="0">
      <w:start w:val="1"/>
      <w:numFmt w:val="bullet"/>
      <w:lvlText w:val="●"/>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5">
    <w:lvl w:ilvl="0">
      <w:start w:val="1"/>
      <w:numFmt w:val="bullet"/>
      <w:lvlText w:val="●"/>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6">
    <w:lvl w:ilvl="0">
      <w:start w:val="1"/>
      <w:numFmt w:val="decimal"/>
      <w:lvlText w:val="%1."/>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7">
    <w:lvl w:ilvl="0">
      <w:start w:val="1"/>
      <w:numFmt w:val="bullet"/>
      <w:lvlText w:val="●"/>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8">
    <w:lvl w:ilvl="0">
      <w:start w:val="1"/>
      <w:numFmt w:val="bullet"/>
      <w:lvlText w:val="●"/>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20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9">
    <w:lvl w:ilvl="0">
      <w:start w:val="1"/>
      <w:numFmt w:val="bullet"/>
      <w:lvlText w:val="●"/>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20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10">
    <w:lvl w:ilvl="0">
      <w:start w:val="1"/>
      <w:numFmt w:val="bullet"/>
      <w:lvlText w:val="●"/>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20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11">
    <w:lvl w:ilvl="0">
      <w:start w:val="1"/>
      <w:numFmt w:val="bullet"/>
      <w:lvlText w:val="●"/>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20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12">
    <w:lvl w:ilvl="0">
      <w:start w:val="1"/>
      <w:numFmt w:val="decimal"/>
      <w:lvlText w:val="%1."/>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13">
    <w:lvl w:ilvl="0">
      <w:start w:val="1"/>
      <w:numFmt w:val="decimal"/>
      <w:lvlText w:val="%1."/>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bCs w:val="1"/>
      <w:i w:val="0"/>
      <w:iCs w:val="0"/>
      <w:sz w:val="48"/>
      <w:szCs w:val="48"/>
    </w:rPr>
  </w:style>
  <w:style w:type="paragraph" w:styleId="Heading2">
    <w:name w:val="heading 2"/>
    <w:basedOn w:val="Normal"/>
    <w:next w:val="Normal"/>
    <w:pPr>
      <w:pBdr>
        <w:top w:space="0" w:sz="0" w:val="nil"/>
        <w:left w:space="0" w:sz="0" w:val="nil"/>
        <w:bottom w:space="0" w:sz="0" w:val="nil"/>
        <w:right w:space="0" w:sz="0" w:val="nil"/>
        <w:between w:space="0" w:sz="0" w:val="nil"/>
      </w:pBdr>
      <w:shd w:fill="auto" w:val="clear"/>
      <w:spacing w:after="225" w:before="225" w:lineRule="auto"/>
    </w:pPr>
    <w:rPr>
      <w:b w:val="1"/>
      <w:bCs w:val="1"/>
      <w:i w:val="0"/>
      <w:iCs w:val="0"/>
      <w:sz w:val="36"/>
      <w:szCs w:val="36"/>
    </w:rPr>
  </w:style>
  <w:style w:type="paragraph" w:styleId="Heading3">
    <w:name w:val="heading 3"/>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bCs w:val="1"/>
      <w:i w:val="0"/>
      <w:iCs w:val="0"/>
      <w:sz w:val="28"/>
      <w:szCs w:val="28"/>
    </w:rPr>
  </w:style>
  <w:style w:type="paragraph" w:styleId="Heading4">
    <w:name w:val="heading 4"/>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bCs w:val="1"/>
      <w:i w:val="0"/>
      <w:iCs w:val="0"/>
      <w:sz w:val="24"/>
      <w:szCs w:val="24"/>
    </w:rPr>
  </w:style>
  <w:style w:type="paragraph" w:styleId="Heading5">
    <w:name w:val="heading 5"/>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bCs w:val="1"/>
      <w:i w:val="0"/>
      <w:iCs w:val="0"/>
      <w:sz w:val="18"/>
      <w:szCs w:val="18"/>
    </w:rPr>
  </w:style>
  <w:style w:type="paragraph" w:styleId="Heading6">
    <w:name w:val="heading 6"/>
    <w:basedOn w:val="Normal"/>
    <w:next w:val="Normal"/>
    <w:pPr>
      <w:pBdr>
        <w:top w:space="0" w:sz="0" w:val="nil"/>
        <w:left w:space="0" w:sz="0" w:val="nil"/>
        <w:bottom w:space="0" w:sz="0" w:val="nil"/>
        <w:right w:space="0" w:sz="0" w:val="nil"/>
        <w:between w:space="0" w:sz="0" w:val="nil"/>
      </w:pBdr>
      <w:shd w:fill="auto" w:val="clear"/>
      <w:spacing w:after="360" w:before="360" w:lineRule="auto"/>
    </w:pPr>
    <w:rPr>
      <w:b w:val="1"/>
      <w:bCs w:val="1"/>
      <w:i w:val="0"/>
      <w:iCs w:val="0"/>
      <w:sz w:val="16"/>
      <w:szCs w:val="16"/>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scirp.org/journal/paperinformation?paperid=129449" TargetMode="External"/><Relationship Id="rId10" Type="http://schemas.openxmlformats.org/officeDocument/2006/relationships/hyperlink" Target="https://arxiv.org/abs/2512.04849" TargetMode="External"/><Relationship Id="rId13" Type="http://schemas.openxmlformats.org/officeDocument/2006/relationships/hyperlink" Target="https://www.researchgate.net/figure/Modulation-of-F11-neuron-morphology-in-correspondence-to-different-PEMF-pulse-repetition_fig3_376678835" TargetMode="External"/><Relationship Id="rId12" Type="http://schemas.openxmlformats.org/officeDocument/2006/relationships/hyperlink" Target="https://ijqf.org/archives/6846"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researchgate.net/publication/376678835_Pulsed_electromagnetic_field_stimulation_enhances_neurite_outgrowth_in_neural_cells_and_modulates_inflammation_in_macrophages" TargetMode="External"/><Relationship Id="rId5" Type="http://schemas.openxmlformats.org/officeDocument/2006/relationships/styles" Target="styles.xml"/><Relationship Id="rId6" Type="http://schemas.openxmlformats.org/officeDocument/2006/relationships/hyperlink" Target="https://index.mirasmart.com/27esv/PDFfiles/Session%205%20Oral.pdf" TargetMode="External"/><Relationship Id="rId7" Type="http://schemas.openxmlformats.org/officeDocument/2006/relationships/hyperlink" Target="https://www.its.caltech.edu/~matsci/btfgrp/Review_Main.pdf" TargetMode="External"/><Relationship Id="rId8" Type="http://schemas.openxmlformats.org/officeDocument/2006/relationships/hyperlink" Target="https://ceder.berkeley.edu/publications/2018_whittaker_acbc.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GoogleSans-regular.ttf"/><Relationship Id="rId2" Type="http://schemas.openxmlformats.org/officeDocument/2006/relationships/font" Target="fonts/GoogleSans-bold.ttf"/><Relationship Id="rId3" Type="http://schemas.openxmlformats.org/officeDocument/2006/relationships/font" Target="fonts/GoogleSans-italic.ttf"/><Relationship Id="rId4" Type="http://schemas.openxmlformats.org/officeDocument/2006/relationships/font" Target="fonts/GoogleSans-boldItalic.ttf"/><Relationship Id="rId5" Type="http://schemas.openxmlformats.org/officeDocument/2006/relationships/font" Target="fonts/GoogleSansText-regular.ttf"/><Relationship Id="rId6" Type="http://schemas.openxmlformats.org/officeDocument/2006/relationships/font" Target="fonts/GoogleSansText-bold.ttf"/><Relationship Id="rId7" Type="http://schemas.openxmlformats.org/officeDocument/2006/relationships/font" Target="fonts/GoogleSansText-italic.ttf"/><Relationship Id="rId8" Type="http://schemas.openxmlformats.org/officeDocument/2006/relationships/font" Target="fonts/GoogleSansTex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